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37" w:rsidRPr="00311237" w:rsidRDefault="00711980" w:rsidP="00311237">
      <w:pPr>
        <w:spacing w:line="276" w:lineRule="auto"/>
        <w:jc w:val="center"/>
        <w:rPr>
          <w:b/>
          <w:bCs/>
        </w:rPr>
      </w:pPr>
      <w:r w:rsidRPr="00311237">
        <w:rPr>
          <w:rFonts w:eastAsia="Century Gothic"/>
          <w:b/>
        </w:rPr>
        <w:t>TEXTO APROBADO EN PRIMER DEBATE,  EN LA COMISIÓN PRIMERA D</w:t>
      </w:r>
      <w:r w:rsidR="00B0271C" w:rsidRPr="00311237">
        <w:rPr>
          <w:rFonts w:eastAsia="Century Gothic"/>
          <w:b/>
        </w:rPr>
        <w:t>E LA CÁMARA DE REPRESENTANTES A</w:t>
      </w:r>
      <w:r w:rsidRPr="00311237">
        <w:rPr>
          <w:rFonts w:eastAsia="Century Gothic"/>
          <w:b/>
        </w:rPr>
        <w:t xml:space="preserve">L PROYECTO DE </w:t>
      </w:r>
      <w:r w:rsidR="008455FF" w:rsidRPr="00311237">
        <w:rPr>
          <w:b/>
        </w:rPr>
        <w:t xml:space="preserve"> LEY No</w:t>
      </w:r>
      <w:r w:rsidRPr="00311237">
        <w:rPr>
          <w:b/>
        </w:rPr>
        <w:t>.</w:t>
      </w:r>
      <w:r w:rsidR="001E0CB5" w:rsidRPr="00311237">
        <w:rPr>
          <w:b/>
        </w:rPr>
        <w:t xml:space="preserve"> </w:t>
      </w:r>
      <w:r w:rsidR="00311237" w:rsidRPr="00311237">
        <w:rPr>
          <w:b/>
          <w:bCs/>
        </w:rPr>
        <w:t xml:space="preserve">074 DE 2021 CÁMARA </w:t>
      </w:r>
    </w:p>
    <w:p w:rsidR="00311237" w:rsidRPr="00311237" w:rsidRDefault="00311237" w:rsidP="00311237">
      <w:pPr>
        <w:spacing w:line="276" w:lineRule="auto"/>
        <w:jc w:val="center"/>
        <w:rPr>
          <w:b/>
          <w:bCs/>
        </w:rPr>
      </w:pPr>
      <w:r w:rsidRPr="00311237">
        <w:rPr>
          <w:b/>
          <w:bCs/>
        </w:rPr>
        <w:t>“MEDIANTE LA CUAL SE MODIFICA EL TRATAMIENTO PENAL DE ALGUNOS DE LOS DELITOS DE LA LEY 599 DEL 2000 MEDIANTE EL MECANISMO DE NEGOCIACIÓN, SE PRIORIZA A LA VÍCTIMA DE CONDUCTAS DELICTIVAS, Y SE ESTABLECEN MEDIDAS PARA LA DISUASIÓN A LA REINCIDENCIA CRIMINAL Y SU RÁPIDA CONSTITUCIÓN”</w:t>
      </w:r>
    </w:p>
    <w:p w:rsidR="00311237" w:rsidRDefault="00311237" w:rsidP="00311237">
      <w:pPr>
        <w:pStyle w:val="Textoindependiente"/>
        <w:jc w:val="center"/>
        <w:rPr>
          <w:rFonts w:ascii="Times New Roman" w:hAnsi="Times New Roman" w:cs="Times New Roman"/>
          <w:b/>
          <w:bCs/>
        </w:rPr>
      </w:pPr>
    </w:p>
    <w:p w:rsidR="00BA4CB3" w:rsidRPr="00311237" w:rsidRDefault="00BA4CB3" w:rsidP="00311237">
      <w:pPr>
        <w:pStyle w:val="Textoindependiente"/>
        <w:jc w:val="center"/>
        <w:rPr>
          <w:rFonts w:ascii="Times New Roman" w:hAnsi="Times New Roman" w:cs="Times New Roman"/>
          <w:b/>
          <w:bCs/>
        </w:rPr>
      </w:pPr>
    </w:p>
    <w:p w:rsidR="00311237" w:rsidRPr="00311237" w:rsidRDefault="001760BD" w:rsidP="00311237">
      <w:pPr>
        <w:pStyle w:val="Textoindependiente"/>
        <w:jc w:val="center"/>
        <w:rPr>
          <w:rFonts w:ascii="Times New Roman" w:hAnsi="Times New Roman" w:cs="Times New Roman"/>
          <w:b/>
          <w:bCs/>
        </w:rPr>
      </w:pPr>
      <w:r w:rsidRPr="00311237">
        <w:rPr>
          <w:rFonts w:ascii="Times New Roman" w:hAnsi="Times New Roman" w:cs="Times New Roman"/>
          <w:b/>
          <w:bCs/>
        </w:rPr>
        <w:t>EL CONGRESO DE COLOMBIA</w:t>
      </w:r>
    </w:p>
    <w:p w:rsidR="00311237" w:rsidRPr="00311237" w:rsidRDefault="00311237" w:rsidP="00311237">
      <w:pPr>
        <w:pStyle w:val="Textoindependiente"/>
        <w:jc w:val="center"/>
        <w:rPr>
          <w:rFonts w:ascii="Times New Roman" w:hAnsi="Times New Roman" w:cs="Times New Roman"/>
          <w:b/>
          <w:bCs/>
        </w:rPr>
      </w:pPr>
    </w:p>
    <w:p w:rsidR="00311237" w:rsidRPr="00311237" w:rsidRDefault="001760BD" w:rsidP="00311237">
      <w:pPr>
        <w:pStyle w:val="Textoindependiente"/>
        <w:jc w:val="center"/>
        <w:rPr>
          <w:rFonts w:ascii="Times New Roman" w:hAnsi="Times New Roman" w:cs="Times New Roman"/>
          <w:b/>
          <w:bCs/>
        </w:rPr>
      </w:pPr>
      <w:r w:rsidRPr="00311237">
        <w:rPr>
          <w:rFonts w:ascii="Times New Roman" w:hAnsi="Times New Roman" w:cs="Times New Roman"/>
          <w:b/>
          <w:bCs/>
        </w:rPr>
        <w:t>DECRETA:</w:t>
      </w:r>
    </w:p>
    <w:p w:rsidR="00311237" w:rsidRDefault="00311237" w:rsidP="00311237">
      <w:pPr>
        <w:pStyle w:val="Textoindependiente"/>
        <w:jc w:val="center"/>
        <w:rPr>
          <w:rFonts w:ascii="Times New Roman" w:hAnsi="Times New Roman" w:cs="Times New Roman"/>
          <w:b/>
          <w:bCs/>
        </w:rPr>
      </w:pPr>
    </w:p>
    <w:p w:rsidR="00BA4CB3" w:rsidRPr="00311237" w:rsidRDefault="00BA4CB3" w:rsidP="00311237">
      <w:pPr>
        <w:pStyle w:val="Textoindependiente"/>
        <w:jc w:val="center"/>
        <w:rPr>
          <w:rFonts w:ascii="Times New Roman" w:hAnsi="Times New Roman" w:cs="Times New Roman"/>
          <w:b/>
          <w:bCs/>
        </w:rPr>
      </w:pPr>
    </w:p>
    <w:p w:rsidR="00311237" w:rsidRPr="00311237" w:rsidRDefault="00311237" w:rsidP="00311237">
      <w:pPr>
        <w:pStyle w:val="Textoindependiente"/>
        <w:spacing w:before="158"/>
        <w:ind w:right="117"/>
        <w:rPr>
          <w:rFonts w:ascii="Times New Roman" w:hAnsi="Times New Roman" w:cs="Times New Roman"/>
        </w:rPr>
      </w:pPr>
      <w:r w:rsidRPr="00311237">
        <w:rPr>
          <w:rFonts w:ascii="Times New Roman" w:hAnsi="Times New Roman" w:cs="Times New Roman"/>
          <w:b/>
        </w:rPr>
        <w:t xml:space="preserve">Artículo 1. </w:t>
      </w:r>
      <w:r w:rsidRPr="00311237">
        <w:rPr>
          <w:rFonts w:ascii="Times New Roman" w:hAnsi="Times New Roman" w:cs="Times New Roman"/>
        </w:rPr>
        <w:t>Adiciónese un Capítulo VII al Título IV. DE LAS CONSECUENCIAS JURIDICAS</w:t>
      </w:r>
      <w:r w:rsidRPr="00311237">
        <w:rPr>
          <w:rFonts w:ascii="Times New Roman" w:hAnsi="Times New Roman" w:cs="Times New Roman"/>
          <w:spacing w:val="-7"/>
        </w:rPr>
        <w:t xml:space="preserve"> </w:t>
      </w:r>
      <w:r w:rsidRPr="00311237">
        <w:rPr>
          <w:rFonts w:ascii="Times New Roman" w:hAnsi="Times New Roman" w:cs="Times New Roman"/>
        </w:rPr>
        <w:t>DE</w:t>
      </w:r>
      <w:r w:rsidRPr="00311237">
        <w:rPr>
          <w:rFonts w:ascii="Times New Roman" w:hAnsi="Times New Roman" w:cs="Times New Roman"/>
          <w:spacing w:val="-7"/>
        </w:rPr>
        <w:t xml:space="preserve"> </w:t>
      </w:r>
      <w:r w:rsidRPr="00311237">
        <w:rPr>
          <w:rFonts w:ascii="Times New Roman" w:hAnsi="Times New Roman" w:cs="Times New Roman"/>
        </w:rPr>
        <w:t>LA</w:t>
      </w:r>
      <w:r w:rsidRPr="00311237">
        <w:rPr>
          <w:rFonts w:ascii="Times New Roman" w:hAnsi="Times New Roman" w:cs="Times New Roman"/>
          <w:spacing w:val="-6"/>
        </w:rPr>
        <w:t xml:space="preserve"> </w:t>
      </w:r>
      <w:r w:rsidRPr="00311237">
        <w:rPr>
          <w:rFonts w:ascii="Times New Roman" w:hAnsi="Times New Roman" w:cs="Times New Roman"/>
        </w:rPr>
        <w:t>CONDUCTA</w:t>
      </w:r>
      <w:r w:rsidRPr="00311237">
        <w:rPr>
          <w:rFonts w:ascii="Times New Roman" w:hAnsi="Times New Roman" w:cs="Times New Roman"/>
          <w:spacing w:val="-7"/>
        </w:rPr>
        <w:t xml:space="preserve"> </w:t>
      </w:r>
      <w:r w:rsidRPr="00311237">
        <w:rPr>
          <w:rFonts w:ascii="Times New Roman" w:hAnsi="Times New Roman" w:cs="Times New Roman"/>
        </w:rPr>
        <w:t>PUNIBLE,</w:t>
      </w:r>
      <w:r w:rsidRPr="00311237">
        <w:rPr>
          <w:rFonts w:ascii="Times New Roman" w:hAnsi="Times New Roman" w:cs="Times New Roman"/>
          <w:spacing w:val="-4"/>
        </w:rPr>
        <w:t xml:space="preserve"> </w:t>
      </w:r>
      <w:r w:rsidRPr="00311237">
        <w:rPr>
          <w:rFonts w:ascii="Times New Roman" w:hAnsi="Times New Roman" w:cs="Times New Roman"/>
        </w:rPr>
        <w:t>del</w:t>
      </w:r>
      <w:r w:rsidRPr="00311237">
        <w:rPr>
          <w:rFonts w:ascii="Times New Roman" w:hAnsi="Times New Roman" w:cs="Times New Roman"/>
          <w:spacing w:val="-7"/>
        </w:rPr>
        <w:t xml:space="preserve"> </w:t>
      </w:r>
      <w:r w:rsidRPr="00311237">
        <w:rPr>
          <w:rFonts w:ascii="Times New Roman" w:hAnsi="Times New Roman" w:cs="Times New Roman"/>
        </w:rPr>
        <w:t>Libro</w:t>
      </w:r>
      <w:r w:rsidRPr="00311237">
        <w:rPr>
          <w:rFonts w:ascii="Times New Roman" w:hAnsi="Times New Roman" w:cs="Times New Roman"/>
          <w:spacing w:val="-5"/>
        </w:rPr>
        <w:t xml:space="preserve"> </w:t>
      </w:r>
      <w:r w:rsidRPr="00311237">
        <w:rPr>
          <w:rFonts w:ascii="Times New Roman" w:hAnsi="Times New Roman" w:cs="Times New Roman"/>
        </w:rPr>
        <w:t>I</w:t>
      </w:r>
      <w:r w:rsidRPr="00311237">
        <w:rPr>
          <w:rFonts w:ascii="Times New Roman" w:hAnsi="Times New Roman" w:cs="Times New Roman"/>
          <w:spacing w:val="-7"/>
        </w:rPr>
        <w:t xml:space="preserve"> </w:t>
      </w:r>
      <w:r w:rsidRPr="00311237">
        <w:rPr>
          <w:rFonts w:ascii="Times New Roman" w:hAnsi="Times New Roman" w:cs="Times New Roman"/>
        </w:rPr>
        <w:t>PARTE</w:t>
      </w:r>
      <w:r w:rsidRPr="00311237">
        <w:rPr>
          <w:rFonts w:ascii="Times New Roman" w:hAnsi="Times New Roman" w:cs="Times New Roman"/>
          <w:spacing w:val="-6"/>
        </w:rPr>
        <w:t xml:space="preserve"> </w:t>
      </w:r>
      <w:r w:rsidRPr="00311237">
        <w:rPr>
          <w:rFonts w:ascii="Times New Roman" w:hAnsi="Times New Roman" w:cs="Times New Roman"/>
        </w:rPr>
        <w:t>GENERAL</w:t>
      </w:r>
      <w:r w:rsidRPr="00311237">
        <w:rPr>
          <w:rFonts w:ascii="Times New Roman" w:hAnsi="Times New Roman" w:cs="Times New Roman"/>
          <w:spacing w:val="-9"/>
        </w:rPr>
        <w:t xml:space="preserve"> </w:t>
      </w:r>
      <w:r w:rsidRPr="00311237">
        <w:rPr>
          <w:rFonts w:ascii="Times New Roman" w:hAnsi="Times New Roman" w:cs="Times New Roman"/>
        </w:rPr>
        <w:t>de</w:t>
      </w:r>
      <w:r w:rsidRPr="00311237">
        <w:rPr>
          <w:rFonts w:ascii="Times New Roman" w:hAnsi="Times New Roman" w:cs="Times New Roman"/>
          <w:spacing w:val="-6"/>
        </w:rPr>
        <w:t xml:space="preserve"> </w:t>
      </w:r>
      <w:r w:rsidRPr="00311237">
        <w:rPr>
          <w:rFonts w:ascii="Times New Roman" w:hAnsi="Times New Roman" w:cs="Times New Roman"/>
        </w:rPr>
        <w:t>la</w:t>
      </w:r>
      <w:r w:rsidRPr="00311237">
        <w:rPr>
          <w:rFonts w:ascii="Times New Roman" w:hAnsi="Times New Roman" w:cs="Times New Roman"/>
          <w:spacing w:val="-6"/>
        </w:rPr>
        <w:t xml:space="preserve"> </w:t>
      </w:r>
      <w:r w:rsidRPr="00311237">
        <w:rPr>
          <w:rFonts w:ascii="Times New Roman" w:hAnsi="Times New Roman" w:cs="Times New Roman"/>
        </w:rPr>
        <w:t>Ley</w:t>
      </w:r>
      <w:r w:rsidRPr="00311237">
        <w:rPr>
          <w:rFonts w:ascii="Times New Roman" w:hAnsi="Times New Roman" w:cs="Times New Roman"/>
          <w:spacing w:val="-5"/>
        </w:rPr>
        <w:t xml:space="preserve"> </w:t>
      </w:r>
      <w:r w:rsidRPr="00311237">
        <w:rPr>
          <w:rFonts w:ascii="Times New Roman" w:hAnsi="Times New Roman" w:cs="Times New Roman"/>
        </w:rPr>
        <w:t>599</w:t>
      </w:r>
      <w:r w:rsidRPr="00311237">
        <w:rPr>
          <w:rFonts w:ascii="Times New Roman" w:hAnsi="Times New Roman" w:cs="Times New Roman"/>
          <w:spacing w:val="-9"/>
        </w:rPr>
        <w:t xml:space="preserve"> </w:t>
      </w:r>
      <w:r w:rsidRPr="00311237">
        <w:rPr>
          <w:rFonts w:ascii="Times New Roman" w:hAnsi="Times New Roman" w:cs="Times New Roman"/>
        </w:rPr>
        <w:t>del 2000, el cual quedara así:</w:t>
      </w:r>
    </w:p>
    <w:p w:rsidR="00311237" w:rsidRPr="00311237" w:rsidRDefault="00311237" w:rsidP="00311237">
      <w:pPr>
        <w:pStyle w:val="Textoindependiente"/>
        <w:spacing w:before="158"/>
        <w:ind w:right="117"/>
        <w:rPr>
          <w:rFonts w:ascii="Times New Roman" w:hAnsi="Times New Roman" w:cs="Times New Roman"/>
        </w:rPr>
      </w:pPr>
    </w:p>
    <w:p w:rsidR="00311237" w:rsidRPr="00311237" w:rsidRDefault="00311237" w:rsidP="00311237">
      <w:pPr>
        <w:pStyle w:val="Textoindependiente"/>
        <w:ind w:right="117"/>
        <w:jc w:val="center"/>
        <w:rPr>
          <w:rFonts w:ascii="Times New Roman" w:hAnsi="Times New Roman" w:cs="Times New Roman"/>
          <w:b/>
        </w:rPr>
      </w:pPr>
      <w:r w:rsidRPr="00311237">
        <w:rPr>
          <w:rFonts w:ascii="Times New Roman" w:hAnsi="Times New Roman" w:cs="Times New Roman"/>
          <w:b/>
        </w:rPr>
        <w:t>CAPITULO VII.</w:t>
      </w:r>
    </w:p>
    <w:p w:rsidR="00311237" w:rsidRPr="00311237" w:rsidRDefault="00311237" w:rsidP="00311237">
      <w:pPr>
        <w:pStyle w:val="Textoindependiente"/>
        <w:ind w:right="117"/>
        <w:jc w:val="center"/>
        <w:rPr>
          <w:rFonts w:ascii="Times New Roman" w:hAnsi="Times New Roman" w:cs="Times New Roman"/>
          <w:b/>
        </w:rPr>
      </w:pPr>
      <w:r w:rsidRPr="00311237">
        <w:rPr>
          <w:rFonts w:ascii="Times New Roman" w:hAnsi="Times New Roman" w:cs="Times New Roman"/>
          <w:b/>
        </w:rPr>
        <w:t>DEL MECANISMO DE NEGOCIACIÓN</w:t>
      </w:r>
    </w:p>
    <w:p w:rsidR="00311237" w:rsidRPr="00311237" w:rsidRDefault="00311237" w:rsidP="00311237">
      <w:pPr>
        <w:pStyle w:val="Default"/>
        <w:jc w:val="both"/>
        <w:rPr>
          <w:rFonts w:eastAsia="Arial"/>
          <w:color w:val="auto"/>
          <w:lang w:val="es-ES" w:eastAsia="es-ES" w:bidi="es-ES"/>
        </w:rPr>
      </w:pPr>
    </w:p>
    <w:p w:rsidR="00311237" w:rsidRPr="00311237" w:rsidRDefault="00311237" w:rsidP="00311237">
      <w:pPr>
        <w:pStyle w:val="Default"/>
        <w:jc w:val="both"/>
        <w:rPr>
          <w:lang w:val="es-ES"/>
        </w:rPr>
      </w:pPr>
      <w:r w:rsidRPr="00311237">
        <w:rPr>
          <w:b/>
          <w:lang w:val="es-ES"/>
        </w:rPr>
        <w:t>Artículo 2.</w:t>
      </w:r>
      <w:r w:rsidRPr="00311237">
        <w:rPr>
          <w:lang w:val="es-ES"/>
        </w:rPr>
        <w:t xml:space="preserve"> Adiciónese un artículo 100A a la ley 599 del 2000 el cual quedará así:</w:t>
      </w:r>
    </w:p>
    <w:p w:rsidR="00311237" w:rsidRPr="00311237" w:rsidRDefault="00311237" w:rsidP="00A00182">
      <w:pPr>
        <w:pStyle w:val="Default"/>
        <w:jc w:val="both"/>
        <w:rPr>
          <w:lang w:val="es-ES"/>
        </w:rPr>
      </w:pPr>
    </w:p>
    <w:p w:rsidR="00311237" w:rsidRPr="00311237" w:rsidRDefault="00311237" w:rsidP="00A00182">
      <w:pPr>
        <w:pStyle w:val="Default"/>
        <w:jc w:val="both"/>
        <w:rPr>
          <w:lang w:val="es-ES"/>
        </w:rPr>
      </w:pPr>
      <w:r w:rsidRPr="00311237">
        <w:rPr>
          <w:b/>
          <w:lang w:val="es-ES"/>
        </w:rPr>
        <w:t xml:space="preserve">Artículo 100A. Mecanismo de negociación. </w:t>
      </w:r>
      <w:r w:rsidRPr="00311237">
        <w:rPr>
          <w:lang w:val="es-ES"/>
        </w:rPr>
        <w:t>El mecanismo de negociación consistirá en conceder por aceptación de cargos una pena imponible de prisión correspondiente a máximo una sexta parte de la establecida cuando los requisitos del artículo 100B del presente código concurran.</w:t>
      </w:r>
    </w:p>
    <w:p w:rsidR="00311237" w:rsidRPr="00311237" w:rsidRDefault="00311237" w:rsidP="00A00182">
      <w:pPr>
        <w:pStyle w:val="Textoindependiente"/>
        <w:spacing w:before="158"/>
        <w:ind w:right="117"/>
        <w:jc w:val="both"/>
        <w:rPr>
          <w:rFonts w:ascii="Times New Roman" w:hAnsi="Times New Roman" w:cs="Times New Roman"/>
        </w:rPr>
      </w:pPr>
      <w:r w:rsidRPr="00311237">
        <w:rPr>
          <w:rFonts w:ascii="Times New Roman" w:hAnsi="Times New Roman" w:cs="Times New Roman"/>
        </w:rPr>
        <w:t>El mecanismo de negociación procederá cuando el indiciado, en la formulación de imputación, acepte libre, consciente y voluntariamente su responsabilidad sobre los hechos imputados</w:t>
      </w:r>
      <w:r w:rsidR="00A00182">
        <w:rPr>
          <w:rFonts w:ascii="Times New Roman" w:hAnsi="Times New Roman" w:cs="Times New Roman"/>
        </w:rPr>
        <w:t xml:space="preserve">. No obstante, el mecanismo se dará de manera </w:t>
      </w:r>
      <w:r w:rsidR="002162FA">
        <w:rPr>
          <w:rFonts w:ascii="Times New Roman" w:hAnsi="Times New Roman" w:cs="Times New Roman"/>
        </w:rPr>
        <w:t>única en dicha audiencia</w:t>
      </w:r>
      <w:r w:rsidRPr="00311237">
        <w:rPr>
          <w:rFonts w:ascii="Times New Roman" w:hAnsi="Times New Roman" w:cs="Times New Roman"/>
        </w:rPr>
        <w:t xml:space="preserve"> y podrá ser concedido en dos (2) oportunidades de acuerdo con lo establecido en el presente capítulo.</w:t>
      </w:r>
    </w:p>
    <w:p w:rsidR="00311237" w:rsidRPr="00311237" w:rsidRDefault="00311237" w:rsidP="00A00182">
      <w:pPr>
        <w:pStyle w:val="Default"/>
        <w:jc w:val="both"/>
        <w:rPr>
          <w:b/>
          <w:lang w:val="es-ES"/>
        </w:rPr>
      </w:pPr>
    </w:p>
    <w:p w:rsidR="00311237" w:rsidRPr="00311237" w:rsidRDefault="00311237" w:rsidP="00311237">
      <w:pPr>
        <w:pStyle w:val="Default"/>
        <w:jc w:val="both"/>
        <w:rPr>
          <w:lang w:val="es-ES"/>
        </w:rPr>
      </w:pPr>
      <w:r w:rsidRPr="00311237">
        <w:rPr>
          <w:b/>
          <w:lang w:val="es-ES"/>
        </w:rPr>
        <w:t xml:space="preserve">Artículo 3. </w:t>
      </w:r>
      <w:r w:rsidRPr="00311237">
        <w:rPr>
          <w:lang w:val="es-ES"/>
        </w:rPr>
        <w:t>Ad</w:t>
      </w:r>
      <w:r w:rsidR="002162FA">
        <w:rPr>
          <w:lang w:val="es-ES"/>
        </w:rPr>
        <w:t>iciónese un artículo 100B a la L</w:t>
      </w:r>
      <w:r w:rsidRPr="00311237">
        <w:rPr>
          <w:lang w:val="es-ES"/>
        </w:rPr>
        <w:t>ey 599 del 2000 el cual quedara así:</w:t>
      </w:r>
    </w:p>
    <w:p w:rsidR="00311237" w:rsidRPr="00311237" w:rsidRDefault="00311237" w:rsidP="00311237">
      <w:pPr>
        <w:pStyle w:val="Default"/>
        <w:jc w:val="both"/>
        <w:rPr>
          <w:lang w:val="es-ES"/>
        </w:rPr>
      </w:pPr>
    </w:p>
    <w:p w:rsidR="00311237" w:rsidRPr="00311237" w:rsidRDefault="00311237" w:rsidP="00311237">
      <w:pPr>
        <w:pStyle w:val="Default"/>
        <w:jc w:val="both"/>
        <w:rPr>
          <w:lang w:val="es-ES"/>
        </w:rPr>
      </w:pPr>
      <w:r w:rsidRPr="00311237">
        <w:rPr>
          <w:b/>
          <w:lang w:val="es-ES"/>
        </w:rPr>
        <w:t>Articulo 100B.</w:t>
      </w:r>
      <w:r w:rsidRPr="00311237">
        <w:rPr>
          <w:lang w:val="es-ES"/>
        </w:rPr>
        <w:t xml:space="preserve"> Para conceder el mecanismo de negociación deberán concurrir los siguientes requisitos:</w:t>
      </w:r>
    </w:p>
    <w:p w:rsidR="00311237" w:rsidRPr="00311237" w:rsidRDefault="00311237" w:rsidP="00311237">
      <w:pPr>
        <w:pStyle w:val="Default"/>
        <w:jc w:val="both"/>
        <w:rPr>
          <w:lang w:val="es-ES"/>
        </w:rPr>
      </w:pPr>
    </w:p>
    <w:p w:rsidR="00311237" w:rsidRPr="00311237" w:rsidRDefault="00311237" w:rsidP="00311237">
      <w:pPr>
        <w:pStyle w:val="Default"/>
        <w:numPr>
          <w:ilvl w:val="1"/>
          <w:numId w:val="6"/>
        </w:numPr>
        <w:jc w:val="both"/>
        <w:rPr>
          <w:lang w:val="es-ES"/>
        </w:rPr>
      </w:pPr>
      <w:r w:rsidRPr="00311237">
        <w:rPr>
          <w:lang w:val="es-ES"/>
        </w:rPr>
        <w:t xml:space="preserve">Que se trate de uno de </w:t>
      </w:r>
      <w:r w:rsidR="00D504D4">
        <w:rPr>
          <w:lang w:val="es-ES"/>
        </w:rPr>
        <w:t xml:space="preserve">los </w:t>
      </w:r>
      <w:r w:rsidRPr="00311237">
        <w:rPr>
          <w:lang w:val="es-ES"/>
        </w:rPr>
        <w:t>siguientes delitos del presente código: Incapacidad para trabajar o enfermedad menor a 90 días (Art 112 C.P.); Deformidad física transitoria (Art 113 C.P.); Perturbación funcional transitoria de un Órgano o mie</w:t>
      </w:r>
      <w:r w:rsidR="00D504D4">
        <w:rPr>
          <w:lang w:val="es-ES"/>
        </w:rPr>
        <w:t>mbro (Art 114 C.P.); Perturbació</w:t>
      </w:r>
      <w:r w:rsidRPr="00311237">
        <w:rPr>
          <w:lang w:val="es-ES"/>
        </w:rPr>
        <w:t xml:space="preserve">n Psíquica transitoria (Art 115 C.P.); Hurto cuando la cuantía no exceda de diez (10) salarios mínimos legales mensuales vigentes (Art 239); Hurto calificado por los numerales 1, 3 y 4, </w:t>
      </w:r>
      <w:r w:rsidRPr="00311237">
        <w:rPr>
          <w:lang w:val="es-ES"/>
        </w:rPr>
        <w:lastRenderedPageBreak/>
        <w:t>siempre que no se cometiere con violencia sobre las personas (Art 240 C.P.); Abigeato (Art 243 C.P.)</w:t>
      </w:r>
    </w:p>
    <w:p w:rsidR="00311237" w:rsidRPr="00311237" w:rsidRDefault="00311237" w:rsidP="00311237">
      <w:pPr>
        <w:pStyle w:val="Default"/>
        <w:ind w:left="847"/>
        <w:jc w:val="both"/>
        <w:rPr>
          <w:lang w:val="es-ES"/>
        </w:rPr>
      </w:pPr>
    </w:p>
    <w:p w:rsidR="00311237" w:rsidRPr="00311237" w:rsidRDefault="00311237" w:rsidP="00311237">
      <w:pPr>
        <w:pStyle w:val="Default"/>
        <w:numPr>
          <w:ilvl w:val="1"/>
          <w:numId w:val="6"/>
        </w:numPr>
        <w:jc w:val="both"/>
        <w:rPr>
          <w:lang w:val="es-ES"/>
        </w:rPr>
      </w:pPr>
      <w:r w:rsidRPr="00311237">
        <w:rPr>
          <w:lang w:val="es-ES"/>
        </w:rPr>
        <w:t>Se demuestre lugar de domicilio y/o ubicación para garantizar su comparecencia.</w:t>
      </w:r>
    </w:p>
    <w:p w:rsidR="00311237" w:rsidRPr="00311237" w:rsidRDefault="00311237" w:rsidP="00311237">
      <w:pPr>
        <w:pStyle w:val="Default"/>
        <w:jc w:val="both"/>
        <w:rPr>
          <w:lang w:val="es-ES"/>
        </w:rPr>
      </w:pPr>
    </w:p>
    <w:p w:rsidR="00311237" w:rsidRPr="00311237" w:rsidRDefault="00311237" w:rsidP="00311237">
      <w:pPr>
        <w:pStyle w:val="Default"/>
        <w:numPr>
          <w:ilvl w:val="1"/>
          <w:numId w:val="6"/>
        </w:numPr>
        <w:jc w:val="both"/>
        <w:rPr>
          <w:lang w:val="es-ES"/>
        </w:rPr>
      </w:pPr>
      <w:r w:rsidRPr="00311237">
        <w:rPr>
          <w:lang w:val="es-ES"/>
        </w:rPr>
        <w:t>Que el responsable carezca de antecedentes, salvo que previamente y por única vez, haya sido beneficiado con el mecanismo punitivo para el primer infractor.</w:t>
      </w:r>
    </w:p>
    <w:p w:rsidR="00311237" w:rsidRPr="00311237" w:rsidRDefault="00311237" w:rsidP="00311237">
      <w:pPr>
        <w:pStyle w:val="Default"/>
        <w:jc w:val="both"/>
        <w:rPr>
          <w:lang w:val="es-ES"/>
        </w:rPr>
      </w:pPr>
    </w:p>
    <w:p w:rsidR="00311237" w:rsidRPr="00311237" w:rsidRDefault="00311237" w:rsidP="00311237">
      <w:pPr>
        <w:pStyle w:val="Default"/>
        <w:numPr>
          <w:ilvl w:val="1"/>
          <w:numId w:val="6"/>
        </w:numPr>
        <w:jc w:val="both"/>
        <w:rPr>
          <w:lang w:val="es-ES"/>
        </w:rPr>
      </w:pPr>
      <w:r w:rsidRPr="00311237">
        <w:rPr>
          <w:lang w:val="es-ES"/>
        </w:rPr>
        <w:t xml:space="preserve">Garantice la </w:t>
      </w:r>
      <w:r w:rsidR="00D504D4">
        <w:rPr>
          <w:lang w:val="es-ES"/>
        </w:rPr>
        <w:t xml:space="preserve">mayor </w:t>
      </w:r>
      <w:r w:rsidRPr="00311237">
        <w:rPr>
          <w:lang w:val="es-ES"/>
        </w:rPr>
        <w:t>satisfacción de los intereses de las víctimas, que deberán ser materializados en:</w:t>
      </w:r>
    </w:p>
    <w:p w:rsidR="00311237" w:rsidRPr="00311237" w:rsidRDefault="00311237" w:rsidP="00311237">
      <w:pPr>
        <w:pStyle w:val="Default"/>
        <w:jc w:val="both"/>
        <w:rPr>
          <w:lang w:val="es-ES"/>
        </w:rPr>
      </w:pPr>
    </w:p>
    <w:p w:rsidR="00311237" w:rsidRDefault="00311237" w:rsidP="00311237">
      <w:pPr>
        <w:pStyle w:val="Default"/>
        <w:numPr>
          <w:ilvl w:val="0"/>
          <w:numId w:val="7"/>
        </w:numPr>
        <w:ind w:left="283"/>
        <w:jc w:val="both"/>
        <w:rPr>
          <w:lang w:val="es-ES"/>
        </w:rPr>
      </w:pPr>
      <w:r w:rsidRPr="00311237">
        <w:rPr>
          <w:b/>
          <w:lang w:val="es-ES"/>
        </w:rPr>
        <w:t>Reparación Integral.</w:t>
      </w:r>
      <w:r w:rsidRPr="00311237">
        <w:rPr>
          <w:lang w:val="es-ES"/>
        </w:rPr>
        <w:t xml:space="preserve"> Correspondiente al pago de la mitad y hasta 3 veces el valor del daño material ocasionado por la conducta delictiva, el cual deberá ser entregado en su totalidad a la víctima.</w:t>
      </w:r>
    </w:p>
    <w:p w:rsidR="00D504D4" w:rsidRPr="00311237" w:rsidRDefault="00D504D4" w:rsidP="00D504D4">
      <w:pPr>
        <w:pStyle w:val="Default"/>
        <w:ind w:left="283"/>
        <w:jc w:val="both"/>
        <w:rPr>
          <w:lang w:val="es-ES"/>
        </w:rPr>
      </w:pPr>
    </w:p>
    <w:p w:rsidR="00311237" w:rsidRPr="00311237" w:rsidRDefault="00311237" w:rsidP="00311237">
      <w:pPr>
        <w:pStyle w:val="Default"/>
        <w:numPr>
          <w:ilvl w:val="0"/>
          <w:numId w:val="7"/>
        </w:numPr>
        <w:ind w:left="283"/>
        <w:jc w:val="both"/>
        <w:rPr>
          <w:lang w:val="es-ES"/>
        </w:rPr>
      </w:pPr>
      <w:r w:rsidRPr="00311237">
        <w:rPr>
          <w:b/>
          <w:lang w:val="es-ES"/>
        </w:rPr>
        <w:t>Reparación Simbólica.</w:t>
      </w:r>
      <w:r w:rsidRPr="00311237">
        <w:rPr>
          <w:lang w:val="es-ES"/>
        </w:rPr>
        <w:t xml:space="preserve"> Ofreciendo disculpas personales a la víctima y comprometiéndose por escrito, o en audiencia ante el juez de forma oral a no reincidir.</w:t>
      </w:r>
    </w:p>
    <w:p w:rsidR="00311237" w:rsidRPr="00311237" w:rsidRDefault="00311237" w:rsidP="00311237">
      <w:pPr>
        <w:pStyle w:val="Default"/>
        <w:ind w:left="283"/>
        <w:jc w:val="both"/>
        <w:rPr>
          <w:lang w:val="es-ES"/>
        </w:rPr>
      </w:pPr>
    </w:p>
    <w:p w:rsidR="00311237" w:rsidRPr="00311237" w:rsidRDefault="00311237" w:rsidP="00311237">
      <w:pPr>
        <w:pStyle w:val="Default"/>
        <w:numPr>
          <w:ilvl w:val="0"/>
          <w:numId w:val="7"/>
        </w:numPr>
        <w:ind w:left="283"/>
        <w:jc w:val="both"/>
        <w:rPr>
          <w:lang w:val="es-ES"/>
        </w:rPr>
      </w:pPr>
      <w:r w:rsidRPr="00311237">
        <w:rPr>
          <w:b/>
          <w:lang w:val="es-ES"/>
        </w:rPr>
        <w:t>Medidas de cultura y educación ciudadana.</w:t>
      </w:r>
      <w:r w:rsidRPr="00311237">
        <w:rPr>
          <w:lang w:val="es-ES"/>
        </w:rPr>
        <w:t xml:space="preserve"> Ejecutando acciones pedagógicas positivas dirigidas a resarcir a la comunidad a discrecionalidad del juez.</w:t>
      </w:r>
    </w:p>
    <w:p w:rsidR="00311237" w:rsidRPr="00311237" w:rsidRDefault="00311237" w:rsidP="00311237">
      <w:pPr>
        <w:pStyle w:val="Default"/>
        <w:jc w:val="both"/>
        <w:rPr>
          <w:lang w:val="es-ES"/>
        </w:rPr>
      </w:pPr>
    </w:p>
    <w:p w:rsidR="00311237" w:rsidRPr="00311237" w:rsidRDefault="00311237" w:rsidP="00311237">
      <w:pPr>
        <w:pStyle w:val="Default"/>
        <w:jc w:val="both"/>
        <w:rPr>
          <w:lang w:val="es-ES"/>
        </w:rPr>
      </w:pPr>
      <w:r w:rsidRPr="00311237">
        <w:rPr>
          <w:lang w:val="es-ES"/>
        </w:rPr>
        <w:t xml:space="preserve">Las medidas enunciadas en los literales anteriores deberán concurrir </w:t>
      </w:r>
      <w:r w:rsidR="00D504D4">
        <w:rPr>
          <w:lang w:val="es-ES"/>
        </w:rPr>
        <w:t xml:space="preserve">en su totalidad </w:t>
      </w:r>
      <w:r w:rsidRPr="00311237">
        <w:rPr>
          <w:lang w:val="es-ES"/>
        </w:rPr>
        <w:t>para que proceda el mecanismo de negociación.</w:t>
      </w:r>
    </w:p>
    <w:p w:rsidR="00311237" w:rsidRPr="00311237" w:rsidRDefault="00311237" w:rsidP="00311237">
      <w:pPr>
        <w:pStyle w:val="Default"/>
        <w:jc w:val="both"/>
        <w:rPr>
          <w:lang w:val="es-ES"/>
        </w:rPr>
      </w:pPr>
    </w:p>
    <w:p w:rsidR="00311237" w:rsidRPr="00311237" w:rsidRDefault="00311237" w:rsidP="00311237">
      <w:pPr>
        <w:pStyle w:val="Default"/>
        <w:jc w:val="both"/>
        <w:rPr>
          <w:lang w:val="es-ES"/>
        </w:rPr>
      </w:pPr>
      <w:r w:rsidRPr="00311237">
        <w:rPr>
          <w:b/>
          <w:lang w:val="es-ES"/>
        </w:rPr>
        <w:t>Parágrafo 1.</w:t>
      </w:r>
      <w:r w:rsidRPr="00311237">
        <w:rPr>
          <w:lang w:val="es-ES"/>
        </w:rPr>
        <w:t xml:space="preserve"> Una vez se materialice la reparación a la víctima, no procederá el ejercicio del Incidente de Reparación Integral.</w:t>
      </w:r>
    </w:p>
    <w:p w:rsidR="00311237" w:rsidRPr="00311237" w:rsidRDefault="00311237" w:rsidP="00311237">
      <w:pPr>
        <w:pStyle w:val="Default"/>
        <w:jc w:val="both"/>
        <w:rPr>
          <w:lang w:val="es-ES"/>
        </w:rPr>
      </w:pPr>
    </w:p>
    <w:p w:rsidR="00311237" w:rsidRPr="00311237" w:rsidRDefault="00311237" w:rsidP="00311237">
      <w:pPr>
        <w:pStyle w:val="Default"/>
        <w:jc w:val="both"/>
        <w:rPr>
          <w:lang w:val="es-ES"/>
        </w:rPr>
      </w:pPr>
      <w:r w:rsidRPr="00311237">
        <w:rPr>
          <w:b/>
          <w:lang w:val="es-ES"/>
        </w:rPr>
        <w:t>Parágrafo 2.</w:t>
      </w:r>
      <w:r w:rsidRPr="00311237">
        <w:rPr>
          <w:lang w:val="es-ES"/>
        </w:rPr>
        <w:t xml:space="preserve"> El mecanismo descrito en el presente artículo no procederá cuando la víctima sea menor de edad.</w:t>
      </w:r>
    </w:p>
    <w:p w:rsidR="00311237" w:rsidRPr="00311237" w:rsidRDefault="00311237" w:rsidP="00311237">
      <w:pPr>
        <w:pStyle w:val="Default"/>
        <w:jc w:val="both"/>
        <w:rPr>
          <w:lang w:val="es-ES"/>
        </w:rPr>
      </w:pPr>
    </w:p>
    <w:p w:rsidR="00311237" w:rsidRPr="00311237" w:rsidRDefault="00311237" w:rsidP="00311237">
      <w:pPr>
        <w:pStyle w:val="Default"/>
        <w:jc w:val="both"/>
        <w:rPr>
          <w:lang w:val="es-ES"/>
        </w:rPr>
      </w:pPr>
      <w:r w:rsidRPr="00311237">
        <w:rPr>
          <w:b/>
          <w:lang w:val="es-ES"/>
        </w:rPr>
        <w:t>Parágrafo 3.</w:t>
      </w:r>
      <w:r w:rsidRPr="00311237">
        <w:rPr>
          <w:lang w:val="es-ES"/>
        </w:rPr>
        <w:t xml:space="preserve"> En los casos en que la víctima no comparezca, el juez ordenará hacer efectiva la indemnización por los daños causados.</w:t>
      </w:r>
    </w:p>
    <w:p w:rsidR="00311237" w:rsidRPr="00311237" w:rsidRDefault="00311237" w:rsidP="00311237">
      <w:pPr>
        <w:pStyle w:val="Default"/>
        <w:jc w:val="both"/>
        <w:rPr>
          <w:lang w:val="es-ES"/>
        </w:rPr>
      </w:pPr>
    </w:p>
    <w:p w:rsidR="00311237" w:rsidRPr="00311237" w:rsidRDefault="00311237" w:rsidP="00311237">
      <w:pPr>
        <w:pStyle w:val="Cuadrculamedia21"/>
        <w:jc w:val="both"/>
        <w:rPr>
          <w:lang w:val="es-ES"/>
        </w:rPr>
      </w:pPr>
      <w:r w:rsidRPr="00311237">
        <w:rPr>
          <w:b/>
          <w:lang w:val="es-ES"/>
        </w:rPr>
        <w:t>Parágrafo 4.</w:t>
      </w:r>
      <w:r w:rsidRPr="00311237">
        <w:rPr>
          <w:lang w:val="es-ES"/>
        </w:rPr>
        <w:t xml:space="preserve"> No procederá el mecanismo de negociación cuando el procesado haya sido beneficiado en dos oportunidades anteriores, y reincida en la comisión de cualquiera de los tipos penales mencionados en el numeral primero del artículo 100B.</w:t>
      </w:r>
    </w:p>
    <w:p w:rsidR="00311237" w:rsidRPr="00311237" w:rsidRDefault="00311237" w:rsidP="00311237">
      <w:pPr>
        <w:pStyle w:val="Textoindependiente"/>
        <w:spacing w:before="156"/>
        <w:rPr>
          <w:rFonts w:ascii="Times New Roman" w:hAnsi="Times New Roman" w:cs="Times New Roman"/>
          <w:b/>
        </w:rPr>
      </w:pPr>
    </w:p>
    <w:p w:rsidR="00311237" w:rsidRPr="00311237" w:rsidRDefault="00311237" w:rsidP="00311237">
      <w:pPr>
        <w:pStyle w:val="Textoindependiente"/>
        <w:spacing w:before="156"/>
        <w:rPr>
          <w:rFonts w:ascii="Times New Roman" w:hAnsi="Times New Roman" w:cs="Times New Roman"/>
        </w:rPr>
      </w:pPr>
      <w:r w:rsidRPr="00311237">
        <w:rPr>
          <w:rFonts w:ascii="Times New Roman" w:hAnsi="Times New Roman" w:cs="Times New Roman"/>
          <w:b/>
        </w:rPr>
        <w:t xml:space="preserve">Artículo 4. </w:t>
      </w:r>
      <w:r w:rsidRPr="00311237">
        <w:rPr>
          <w:rFonts w:ascii="Times New Roman" w:hAnsi="Times New Roman" w:cs="Times New Roman"/>
        </w:rPr>
        <w:t>Ad</w:t>
      </w:r>
      <w:r w:rsidR="00D504D4">
        <w:rPr>
          <w:rFonts w:ascii="Times New Roman" w:hAnsi="Times New Roman" w:cs="Times New Roman"/>
        </w:rPr>
        <w:t>iciónese un artículo 100C a la L</w:t>
      </w:r>
      <w:r w:rsidRPr="00311237">
        <w:rPr>
          <w:rFonts w:ascii="Times New Roman" w:hAnsi="Times New Roman" w:cs="Times New Roman"/>
        </w:rPr>
        <w:t>ey 599 del 2000 el cual quedará así:</w:t>
      </w:r>
    </w:p>
    <w:p w:rsidR="00311237" w:rsidRDefault="00311237" w:rsidP="00711037">
      <w:pPr>
        <w:pStyle w:val="Textoindependiente"/>
        <w:spacing w:before="184"/>
        <w:ind w:right="112"/>
        <w:jc w:val="both"/>
        <w:rPr>
          <w:rFonts w:ascii="Times New Roman" w:hAnsi="Times New Roman" w:cs="Times New Roman"/>
        </w:rPr>
      </w:pPr>
      <w:r w:rsidRPr="00311237">
        <w:rPr>
          <w:rFonts w:ascii="Times New Roman" w:hAnsi="Times New Roman" w:cs="Times New Roman"/>
          <w:b/>
        </w:rPr>
        <w:t>Articulo 100C. Exclusión de subrogados penales ante el mecanismo de</w:t>
      </w:r>
      <w:r w:rsidRPr="00311237">
        <w:rPr>
          <w:rFonts w:ascii="Times New Roman" w:hAnsi="Times New Roman" w:cs="Times New Roman"/>
          <w:b/>
          <w:spacing w:val="-29"/>
        </w:rPr>
        <w:t xml:space="preserve"> </w:t>
      </w:r>
      <w:r w:rsidRPr="00311237">
        <w:rPr>
          <w:rFonts w:ascii="Times New Roman" w:hAnsi="Times New Roman" w:cs="Times New Roman"/>
          <w:b/>
        </w:rPr>
        <w:t xml:space="preserve">negociación. </w:t>
      </w:r>
      <w:r w:rsidRPr="00311237">
        <w:rPr>
          <w:rFonts w:ascii="Times New Roman" w:hAnsi="Times New Roman" w:cs="Times New Roman"/>
        </w:rPr>
        <w:t>No</w:t>
      </w:r>
      <w:r w:rsidRPr="00311237">
        <w:rPr>
          <w:rFonts w:ascii="Times New Roman" w:hAnsi="Times New Roman" w:cs="Times New Roman"/>
          <w:spacing w:val="-13"/>
        </w:rPr>
        <w:t xml:space="preserve"> </w:t>
      </w:r>
      <w:r w:rsidRPr="00311237">
        <w:rPr>
          <w:rFonts w:ascii="Times New Roman" w:hAnsi="Times New Roman" w:cs="Times New Roman"/>
        </w:rPr>
        <w:t>se</w:t>
      </w:r>
      <w:r w:rsidRPr="00311237">
        <w:rPr>
          <w:rFonts w:ascii="Times New Roman" w:hAnsi="Times New Roman" w:cs="Times New Roman"/>
          <w:spacing w:val="-15"/>
        </w:rPr>
        <w:t xml:space="preserve"> </w:t>
      </w:r>
      <w:r w:rsidRPr="00311237">
        <w:rPr>
          <w:rFonts w:ascii="Times New Roman" w:hAnsi="Times New Roman" w:cs="Times New Roman"/>
        </w:rPr>
        <w:t>concederá</w:t>
      </w:r>
      <w:r w:rsidRPr="00311237">
        <w:rPr>
          <w:rFonts w:ascii="Times New Roman" w:hAnsi="Times New Roman" w:cs="Times New Roman"/>
          <w:spacing w:val="-15"/>
        </w:rPr>
        <w:t xml:space="preserve"> </w:t>
      </w:r>
      <w:r w:rsidRPr="00311237">
        <w:rPr>
          <w:rFonts w:ascii="Times New Roman" w:hAnsi="Times New Roman" w:cs="Times New Roman"/>
        </w:rPr>
        <w:t>la</w:t>
      </w:r>
      <w:r w:rsidRPr="00311237">
        <w:rPr>
          <w:rFonts w:ascii="Times New Roman" w:hAnsi="Times New Roman" w:cs="Times New Roman"/>
          <w:spacing w:val="-15"/>
        </w:rPr>
        <w:t xml:space="preserve"> </w:t>
      </w:r>
      <w:r w:rsidRPr="00311237">
        <w:rPr>
          <w:rFonts w:ascii="Times New Roman" w:hAnsi="Times New Roman" w:cs="Times New Roman"/>
        </w:rPr>
        <w:t>suspensión</w:t>
      </w:r>
      <w:r w:rsidRPr="00311237">
        <w:rPr>
          <w:rFonts w:ascii="Times New Roman" w:hAnsi="Times New Roman" w:cs="Times New Roman"/>
          <w:spacing w:val="-13"/>
        </w:rPr>
        <w:t xml:space="preserve"> </w:t>
      </w:r>
      <w:r w:rsidRPr="00311237">
        <w:rPr>
          <w:rFonts w:ascii="Times New Roman" w:hAnsi="Times New Roman" w:cs="Times New Roman"/>
        </w:rPr>
        <w:t>condicional</w:t>
      </w:r>
      <w:r w:rsidRPr="00311237">
        <w:rPr>
          <w:rFonts w:ascii="Times New Roman" w:hAnsi="Times New Roman" w:cs="Times New Roman"/>
          <w:spacing w:val="-14"/>
        </w:rPr>
        <w:t xml:space="preserve"> </w:t>
      </w:r>
      <w:r w:rsidRPr="00311237">
        <w:rPr>
          <w:rFonts w:ascii="Times New Roman" w:hAnsi="Times New Roman" w:cs="Times New Roman"/>
        </w:rPr>
        <w:t>de</w:t>
      </w:r>
      <w:r w:rsidRPr="00311237">
        <w:rPr>
          <w:rFonts w:ascii="Times New Roman" w:hAnsi="Times New Roman" w:cs="Times New Roman"/>
          <w:spacing w:val="-13"/>
        </w:rPr>
        <w:t xml:space="preserve"> </w:t>
      </w:r>
      <w:r w:rsidRPr="00311237">
        <w:rPr>
          <w:rFonts w:ascii="Times New Roman" w:hAnsi="Times New Roman" w:cs="Times New Roman"/>
        </w:rPr>
        <w:t>la</w:t>
      </w:r>
      <w:r w:rsidRPr="00311237">
        <w:rPr>
          <w:rFonts w:ascii="Times New Roman" w:hAnsi="Times New Roman" w:cs="Times New Roman"/>
          <w:spacing w:val="-18"/>
        </w:rPr>
        <w:t xml:space="preserve"> </w:t>
      </w:r>
      <w:r w:rsidRPr="00311237">
        <w:rPr>
          <w:rFonts w:ascii="Times New Roman" w:hAnsi="Times New Roman" w:cs="Times New Roman"/>
        </w:rPr>
        <w:t>ejecución</w:t>
      </w:r>
      <w:r w:rsidRPr="00311237">
        <w:rPr>
          <w:rFonts w:ascii="Times New Roman" w:hAnsi="Times New Roman" w:cs="Times New Roman"/>
          <w:spacing w:val="-14"/>
        </w:rPr>
        <w:t xml:space="preserve"> </w:t>
      </w:r>
      <w:r w:rsidRPr="00311237">
        <w:rPr>
          <w:rFonts w:ascii="Times New Roman" w:hAnsi="Times New Roman" w:cs="Times New Roman"/>
        </w:rPr>
        <w:t>de</w:t>
      </w:r>
      <w:r w:rsidRPr="00311237">
        <w:rPr>
          <w:rFonts w:ascii="Times New Roman" w:hAnsi="Times New Roman" w:cs="Times New Roman"/>
          <w:spacing w:val="-15"/>
        </w:rPr>
        <w:t xml:space="preserve"> </w:t>
      </w:r>
      <w:r w:rsidRPr="00311237">
        <w:rPr>
          <w:rFonts w:ascii="Times New Roman" w:hAnsi="Times New Roman" w:cs="Times New Roman"/>
        </w:rPr>
        <w:t>la</w:t>
      </w:r>
      <w:r w:rsidRPr="00311237">
        <w:rPr>
          <w:rFonts w:ascii="Times New Roman" w:hAnsi="Times New Roman" w:cs="Times New Roman"/>
          <w:spacing w:val="-15"/>
        </w:rPr>
        <w:t xml:space="preserve"> </w:t>
      </w:r>
      <w:r w:rsidRPr="00311237">
        <w:rPr>
          <w:rFonts w:ascii="Times New Roman" w:hAnsi="Times New Roman" w:cs="Times New Roman"/>
        </w:rPr>
        <w:t>pena,</w:t>
      </w:r>
      <w:r w:rsidRPr="00311237">
        <w:rPr>
          <w:rFonts w:ascii="Times New Roman" w:hAnsi="Times New Roman" w:cs="Times New Roman"/>
          <w:spacing w:val="-14"/>
        </w:rPr>
        <w:t xml:space="preserve"> </w:t>
      </w:r>
      <w:r w:rsidRPr="00311237">
        <w:rPr>
          <w:rFonts w:ascii="Times New Roman" w:hAnsi="Times New Roman" w:cs="Times New Roman"/>
        </w:rPr>
        <w:t>la</w:t>
      </w:r>
      <w:r w:rsidRPr="00311237">
        <w:rPr>
          <w:rFonts w:ascii="Times New Roman" w:hAnsi="Times New Roman" w:cs="Times New Roman"/>
          <w:spacing w:val="-12"/>
        </w:rPr>
        <w:t xml:space="preserve"> </w:t>
      </w:r>
      <w:r w:rsidRPr="00311237">
        <w:rPr>
          <w:rFonts w:ascii="Times New Roman" w:hAnsi="Times New Roman" w:cs="Times New Roman"/>
        </w:rPr>
        <w:t>prisión</w:t>
      </w:r>
      <w:r w:rsidRPr="00311237">
        <w:rPr>
          <w:rFonts w:ascii="Times New Roman" w:hAnsi="Times New Roman" w:cs="Times New Roman"/>
          <w:spacing w:val="-12"/>
        </w:rPr>
        <w:t xml:space="preserve"> </w:t>
      </w:r>
      <w:r w:rsidRPr="00311237">
        <w:rPr>
          <w:rFonts w:ascii="Times New Roman" w:hAnsi="Times New Roman" w:cs="Times New Roman"/>
        </w:rPr>
        <w:t>domiciliaria como</w:t>
      </w:r>
      <w:r w:rsidRPr="00311237">
        <w:rPr>
          <w:rFonts w:ascii="Times New Roman" w:hAnsi="Times New Roman" w:cs="Times New Roman"/>
          <w:spacing w:val="-15"/>
        </w:rPr>
        <w:t xml:space="preserve"> </w:t>
      </w:r>
      <w:r w:rsidRPr="00311237">
        <w:rPr>
          <w:rFonts w:ascii="Times New Roman" w:hAnsi="Times New Roman" w:cs="Times New Roman"/>
        </w:rPr>
        <w:t>sustitutiva</w:t>
      </w:r>
      <w:r w:rsidRPr="00311237">
        <w:rPr>
          <w:rFonts w:ascii="Times New Roman" w:hAnsi="Times New Roman" w:cs="Times New Roman"/>
          <w:spacing w:val="-16"/>
        </w:rPr>
        <w:t xml:space="preserve"> </w:t>
      </w:r>
      <w:r w:rsidRPr="00311237">
        <w:rPr>
          <w:rFonts w:ascii="Times New Roman" w:hAnsi="Times New Roman" w:cs="Times New Roman"/>
        </w:rPr>
        <w:t>de</w:t>
      </w:r>
      <w:r w:rsidRPr="00311237">
        <w:rPr>
          <w:rFonts w:ascii="Times New Roman" w:hAnsi="Times New Roman" w:cs="Times New Roman"/>
          <w:spacing w:val="-19"/>
        </w:rPr>
        <w:t xml:space="preserve"> </w:t>
      </w:r>
      <w:r w:rsidRPr="00311237">
        <w:rPr>
          <w:rFonts w:ascii="Times New Roman" w:hAnsi="Times New Roman" w:cs="Times New Roman"/>
        </w:rPr>
        <w:t>la</w:t>
      </w:r>
      <w:r w:rsidRPr="00311237">
        <w:rPr>
          <w:rFonts w:ascii="Times New Roman" w:hAnsi="Times New Roman" w:cs="Times New Roman"/>
          <w:spacing w:val="-15"/>
        </w:rPr>
        <w:t xml:space="preserve"> </w:t>
      </w:r>
      <w:r w:rsidRPr="00311237">
        <w:rPr>
          <w:rFonts w:ascii="Times New Roman" w:hAnsi="Times New Roman" w:cs="Times New Roman"/>
        </w:rPr>
        <w:t>prisión,</w:t>
      </w:r>
      <w:r w:rsidRPr="00311237">
        <w:rPr>
          <w:rFonts w:ascii="Times New Roman" w:hAnsi="Times New Roman" w:cs="Times New Roman"/>
          <w:spacing w:val="-15"/>
        </w:rPr>
        <w:t xml:space="preserve"> </w:t>
      </w:r>
      <w:r w:rsidRPr="00311237">
        <w:rPr>
          <w:rFonts w:ascii="Times New Roman" w:hAnsi="Times New Roman" w:cs="Times New Roman"/>
        </w:rPr>
        <w:t>ni</w:t>
      </w:r>
      <w:r w:rsidRPr="00311237">
        <w:rPr>
          <w:rFonts w:ascii="Times New Roman" w:hAnsi="Times New Roman" w:cs="Times New Roman"/>
          <w:spacing w:val="-17"/>
        </w:rPr>
        <w:t xml:space="preserve"> </w:t>
      </w:r>
      <w:r w:rsidRPr="00311237">
        <w:rPr>
          <w:rFonts w:ascii="Times New Roman" w:hAnsi="Times New Roman" w:cs="Times New Roman"/>
        </w:rPr>
        <w:t>habrá</w:t>
      </w:r>
      <w:r w:rsidRPr="00311237">
        <w:rPr>
          <w:rFonts w:ascii="Times New Roman" w:hAnsi="Times New Roman" w:cs="Times New Roman"/>
          <w:spacing w:val="-17"/>
        </w:rPr>
        <w:t xml:space="preserve"> </w:t>
      </w:r>
      <w:r w:rsidRPr="00311237">
        <w:rPr>
          <w:rFonts w:ascii="Times New Roman" w:hAnsi="Times New Roman" w:cs="Times New Roman"/>
        </w:rPr>
        <w:t>lugar</w:t>
      </w:r>
      <w:r w:rsidRPr="00311237">
        <w:rPr>
          <w:rFonts w:ascii="Times New Roman" w:hAnsi="Times New Roman" w:cs="Times New Roman"/>
          <w:spacing w:val="-18"/>
        </w:rPr>
        <w:t xml:space="preserve"> </w:t>
      </w:r>
      <w:r w:rsidRPr="00311237">
        <w:rPr>
          <w:rFonts w:ascii="Times New Roman" w:hAnsi="Times New Roman" w:cs="Times New Roman"/>
        </w:rPr>
        <w:t>a</w:t>
      </w:r>
      <w:r w:rsidRPr="00311237">
        <w:rPr>
          <w:rFonts w:ascii="Times New Roman" w:hAnsi="Times New Roman" w:cs="Times New Roman"/>
          <w:spacing w:val="-16"/>
        </w:rPr>
        <w:t xml:space="preserve"> </w:t>
      </w:r>
      <w:r w:rsidRPr="00311237">
        <w:rPr>
          <w:rFonts w:ascii="Times New Roman" w:hAnsi="Times New Roman" w:cs="Times New Roman"/>
        </w:rPr>
        <w:t>ningún</w:t>
      </w:r>
      <w:r w:rsidRPr="00311237">
        <w:rPr>
          <w:rFonts w:ascii="Times New Roman" w:hAnsi="Times New Roman" w:cs="Times New Roman"/>
          <w:spacing w:val="-15"/>
        </w:rPr>
        <w:t xml:space="preserve"> </w:t>
      </w:r>
      <w:r w:rsidRPr="00311237">
        <w:rPr>
          <w:rFonts w:ascii="Times New Roman" w:hAnsi="Times New Roman" w:cs="Times New Roman"/>
        </w:rPr>
        <w:t>otro</w:t>
      </w:r>
      <w:r w:rsidRPr="00311237">
        <w:rPr>
          <w:rFonts w:ascii="Times New Roman" w:hAnsi="Times New Roman" w:cs="Times New Roman"/>
          <w:spacing w:val="-16"/>
        </w:rPr>
        <w:t xml:space="preserve"> </w:t>
      </w:r>
      <w:r w:rsidRPr="00311237">
        <w:rPr>
          <w:rFonts w:ascii="Times New Roman" w:hAnsi="Times New Roman" w:cs="Times New Roman"/>
        </w:rPr>
        <w:t>beneficio,</w:t>
      </w:r>
      <w:r w:rsidRPr="00311237">
        <w:rPr>
          <w:rFonts w:ascii="Times New Roman" w:hAnsi="Times New Roman" w:cs="Times New Roman"/>
          <w:spacing w:val="-17"/>
        </w:rPr>
        <w:t xml:space="preserve"> </w:t>
      </w:r>
      <w:r w:rsidRPr="00311237">
        <w:rPr>
          <w:rFonts w:ascii="Times New Roman" w:hAnsi="Times New Roman" w:cs="Times New Roman"/>
        </w:rPr>
        <w:t>judicial</w:t>
      </w:r>
      <w:r w:rsidRPr="00311237">
        <w:rPr>
          <w:rFonts w:ascii="Times New Roman" w:hAnsi="Times New Roman" w:cs="Times New Roman"/>
          <w:spacing w:val="-16"/>
        </w:rPr>
        <w:t xml:space="preserve"> </w:t>
      </w:r>
      <w:r w:rsidRPr="00311237">
        <w:rPr>
          <w:rFonts w:ascii="Times New Roman" w:hAnsi="Times New Roman" w:cs="Times New Roman"/>
        </w:rPr>
        <w:t>o</w:t>
      </w:r>
      <w:r w:rsidRPr="00311237">
        <w:rPr>
          <w:rFonts w:ascii="Times New Roman" w:hAnsi="Times New Roman" w:cs="Times New Roman"/>
          <w:spacing w:val="-16"/>
        </w:rPr>
        <w:t xml:space="preserve"> </w:t>
      </w:r>
      <w:r w:rsidRPr="00311237">
        <w:rPr>
          <w:rFonts w:ascii="Times New Roman" w:hAnsi="Times New Roman" w:cs="Times New Roman"/>
        </w:rPr>
        <w:t xml:space="preserve">administrativo, salvo los beneficios por colaboración regulados por la ley, siempre que esta sea efectiva, cuando la persona haya sido beneficiada con el mecanismo de negociación. En consecuencia, la pena deberá ser efectiva y </w:t>
      </w:r>
      <w:r w:rsidRPr="00311237">
        <w:rPr>
          <w:rFonts w:ascii="Times New Roman" w:hAnsi="Times New Roman" w:cs="Times New Roman"/>
        </w:rPr>
        <w:lastRenderedPageBreak/>
        <w:t>cumplida en prisión sin posibilidad de excarcelación.</w:t>
      </w:r>
    </w:p>
    <w:p w:rsidR="00D504D4" w:rsidRDefault="00D504D4" w:rsidP="00711037">
      <w:pPr>
        <w:pStyle w:val="Textoindependiente"/>
        <w:spacing w:before="184"/>
        <w:ind w:right="112"/>
        <w:jc w:val="both"/>
        <w:rPr>
          <w:rFonts w:ascii="Times New Roman" w:hAnsi="Times New Roman" w:cs="Times New Roman"/>
        </w:rPr>
      </w:pPr>
      <w:r>
        <w:rPr>
          <w:rFonts w:ascii="Times New Roman" w:hAnsi="Times New Roman" w:cs="Times New Roman"/>
        </w:rPr>
        <w:t xml:space="preserve">La excepción de lo anterior será cuando por circunstancias de protección a la vida, salud, integridad personal y dignidad humana se deba conceder la prisión domiciliaria. </w:t>
      </w:r>
    </w:p>
    <w:p w:rsidR="00311237" w:rsidRDefault="00311237" w:rsidP="00711037">
      <w:pPr>
        <w:pStyle w:val="Textoindependiente"/>
        <w:spacing w:before="158"/>
        <w:ind w:right="116"/>
        <w:jc w:val="both"/>
        <w:rPr>
          <w:rFonts w:ascii="Times New Roman" w:hAnsi="Times New Roman" w:cs="Times New Roman"/>
        </w:rPr>
      </w:pPr>
      <w:r w:rsidRPr="00311237">
        <w:rPr>
          <w:rFonts w:ascii="Times New Roman" w:hAnsi="Times New Roman" w:cs="Times New Roman"/>
        </w:rPr>
        <w:t xml:space="preserve">Adicionalmente, el juez impondrá las penas accesorias que </w:t>
      </w:r>
      <w:r w:rsidR="00D504D4">
        <w:rPr>
          <w:rFonts w:ascii="Times New Roman" w:hAnsi="Times New Roman" w:cs="Times New Roman"/>
        </w:rPr>
        <w:t xml:space="preserve">resulten aplicables al caso, de </w:t>
      </w:r>
      <w:r w:rsidRPr="00311237">
        <w:rPr>
          <w:rFonts w:ascii="Times New Roman" w:hAnsi="Times New Roman" w:cs="Times New Roman"/>
        </w:rPr>
        <w:t>conformidad con lo establecido en el artículo 52 del presente código.</w:t>
      </w:r>
    </w:p>
    <w:p w:rsidR="00D504D4" w:rsidRPr="00311237" w:rsidRDefault="00D504D4" w:rsidP="00711037">
      <w:pPr>
        <w:pStyle w:val="Textoindependiente"/>
        <w:spacing w:before="158"/>
        <w:ind w:right="116"/>
        <w:jc w:val="both"/>
        <w:rPr>
          <w:rFonts w:ascii="Times New Roman" w:hAnsi="Times New Roman" w:cs="Times New Roman"/>
        </w:rPr>
      </w:pPr>
      <w:r>
        <w:rPr>
          <w:rFonts w:ascii="Times New Roman" w:hAnsi="Times New Roman" w:cs="Times New Roman"/>
        </w:rPr>
        <w:t xml:space="preserve">En todo caso, quienes se acojan al mecanismo de negociación, mientras se encuentren privados de la libertad, deberán estar separadas de los ya sentenciados por los delitos graves o de aquellos que, a juicio del Director General del Instituto Nacional Penitenciario y Carcelario (INPEC) o quien haga sus veces, </w:t>
      </w:r>
      <w:proofErr w:type="gramStart"/>
      <w:r>
        <w:rPr>
          <w:rFonts w:ascii="Times New Roman" w:hAnsi="Times New Roman" w:cs="Times New Roman"/>
        </w:rPr>
        <w:t>generen</w:t>
      </w:r>
      <w:proofErr w:type="gramEnd"/>
      <w:r>
        <w:rPr>
          <w:rFonts w:ascii="Times New Roman" w:hAnsi="Times New Roman" w:cs="Times New Roman"/>
        </w:rPr>
        <w:t xml:space="preserve"> especiales riesgos de seguridad. </w:t>
      </w:r>
    </w:p>
    <w:p w:rsidR="00311237" w:rsidRPr="00311237" w:rsidRDefault="00311237" w:rsidP="00711037">
      <w:pPr>
        <w:pStyle w:val="Textoindependiente"/>
        <w:spacing w:before="158"/>
        <w:ind w:right="116"/>
        <w:jc w:val="both"/>
        <w:rPr>
          <w:rFonts w:ascii="Times New Roman" w:hAnsi="Times New Roman" w:cs="Times New Roman"/>
        </w:rPr>
      </w:pPr>
      <w:r w:rsidRPr="00311237">
        <w:rPr>
          <w:rFonts w:ascii="Times New Roman" w:hAnsi="Times New Roman" w:cs="Times New Roman"/>
          <w:b/>
        </w:rPr>
        <w:t>Parágrafo.</w:t>
      </w:r>
      <w:r w:rsidRPr="00311237">
        <w:rPr>
          <w:rFonts w:ascii="Times New Roman" w:hAnsi="Times New Roman" w:cs="Times New Roman"/>
        </w:rPr>
        <w:t xml:space="preserve"> Para conceder beneficios por colaboración u otros tipos de beneficios a instancias de la Fiscalía, el fiscal del caso deberá ponderar las circunstancias que hagan más favorable la situación a la víctima y sus derechos. Lo anterior, no implica la renuncia de la aplicación de dichos beneficios, sino el tratamiento favorable a la víctima como centro del mecanismo para el primer infractor.</w:t>
      </w:r>
    </w:p>
    <w:p w:rsidR="00311237" w:rsidRPr="00311237" w:rsidRDefault="00311237" w:rsidP="00311237">
      <w:pPr>
        <w:pStyle w:val="Textoindependiente"/>
        <w:spacing w:before="179"/>
        <w:rPr>
          <w:rFonts w:ascii="Times New Roman" w:hAnsi="Times New Roman" w:cs="Times New Roman"/>
          <w:b/>
        </w:rPr>
      </w:pPr>
    </w:p>
    <w:p w:rsidR="00311237" w:rsidRPr="00311237" w:rsidRDefault="00311237" w:rsidP="00311237">
      <w:pPr>
        <w:pStyle w:val="Textoindependiente"/>
        <w:spacing w:before="179"/>
        <w:rPr>
          <w:rFonts w:ascii="Times New Roman" w:hAnsi="Times New Roman" w:cs="Times New Roman"/>
        </w:rPr>
      </w:pPr>
      <w:r w:rsidRPr="00311237">
        <w:rPr>
          <w:rFonts w:ascii="Times New Roman" w:hAnsi="Times New Roman" w:cs="Times New Roman"/>
          <w:b/>
        </w:rPr>
        <w:t xml:space="preserve">Artículo 5. </w:t>
      </w:r>
      <w:r w:rsidRPr="00311237">
        <w:rPr>
          <w:rFonts w:ascii="Times New Roman" w:hAnsi="Times New Roman" w:cs="Times New Roman"/>
        </w:rPr>
        <w:t>Adiciónese un artículo 100D a la ley 599 del 2000 el cual quedará así:</w:t>
      </w:r>
    </w:p>
    <w:p w:rsidR="00311237" w:rsidRPr="00311237" w:rsidRDefault="00311237" w:rsidP="00711037">
      <w:pPr>
        <w:pStyle w:val="Textoindependiente"/>
        <w:spacing w:before="181"/>
        <w:ind w:right="113"/>
        <w:jc w:val="both"/>
        <w:rPr>
          <w:rFonts w:ascii="Times New Roman" w:hAnsi="Times New Roman" w:cs="Times New Roman"/>
        </w:rPr>
      </w:pPr>
      <w:r w:rsidRPr="00311237">
        <w:rPr>
          <w:rFonts w:ascii="Times New Roman" w:hAnsi="Times New Roman" w:cs="Times New Roman"/>
          <w:b/>
        </w:rPr>
        <w:t>Articulo 100D. De la reincidencia</w:t>
      </w:r>
      <w:r w:rsidRPr="00311237">
        <w:rPr>
          <w:rFonts w:ascii="Times New Roman" w:hAnsi="Times New Roman" w:cs="Times New Roman"/>
        </w:rPr>
        <w:t>. Cuando el procesado haya sido beneficiado con el mecanismo de negociación por primera vez, habiendo cumplido los requisitos del artículo 100B, numeral segundo, y reincida en la comisión de cualquiera de los tipos penales mencionados en el numeral primero del mismo artículo, este podrá acogerse por una segunda</w:t>
      </w:r>
      <w:r w:rsidRPr="00311237">
        <w:rPr>
          <w:rFonts w:ascii="Times New Roman" w:hAnsi="Times New Roman" w:cs="Times New Roman"/>
          <w:spacing w:val="-13"/>
        </w:rPr>
        <w:t xml:space="preserve"> </w:t>
      </w:r>
      <w:r w:rsidRPr="00311237">
        <w:rPr>
          <w:rFonts w:ascii="Times New Roman" w:hAnsi="Times New Roman" w:cs="Times New Roman"/>
        </w:rPr>
        <w:t>y</w:t>
      </w:r>
      <w:r w:rsidRPr="00311237">
        <w:rPr>
          <w:rFonts w:ascii="Times New Roman" w:hAnsi="Times New Roman" w:cs="Times New Roman"/>
          <w:spacing w:val="-11"/>
        </w:rPr>
        <w:t xml:space="preserve"> </w:t>
      </w:r>
      <w:r w:rsidRPr="00311237">
        <w:rPr>
          <w:rFonts w:ascii="Times New Roman" w:hAnsi="Times New Roman" w:cs="Times New Roman"/>
        </w:rPr>
        <w:t>última</w:t>
      </w:r>
      <w:r w:rsidRPr="00311237">
        <w:rPr>
          <w:rFonts w:ascii="Times New Roman" w:hAnsi="Times New Roman" w:cs="Times New Roman"/>
          <w:spacing w:val="-11"/>
        </w:rPr>
        <w:t xml:space="preserve"> </w:t>
      </w:r>
      <w:r w:rsidRPr="00311237">
        <w:rPr>
          <w:rFonts w:ascii="Times New Roman" w:hAnsi="Times New Roman" w:cs="Times New Roman"/>
        </w:rPr>
        <w:t>vez</w:t>
      </w:r>
      <w:r w:rsidRPr="00311237">
        <w:rPr>
          <w:rFonts w:ascii="Times New Roman" w:hAnsi="Times New Roman" w:cs="Times New Roman"/>
          <w:spacing w:val="-15"/>
        </w:rPr>
        <w:t xml:space="preserve"> </w:t>
      </w:r>
      <w:r w:rsidRPr="00311237">
        <w:rPr>
          <w:rFonts w:ascii="Times New Roman" w:hAnsi="Times New Roman" w:cs="Times New Roman"/>
        </w:rPr>
        <w:t>al</w:t>
      </w:r>
      <w:r w:rsidRPr="00311237">
        <w:rPr>
          <w:rFonts w:ascii="Times New Roman" w:hAnsi="Times New Roman" w:cs="Times New Roman"/>
          <w:spacing w:val="-15"/>
        </w:rPr>
        <w:t xml:space="preserve"> </w:t>
      </w:r>
      <w:r w:rsidRPr="00311237">
        <w:rPr>
          <w:rFonts w:ascii="Times New Roman" w:hAnsi="Times New Roman" w:cs="Times New Roman"/>
        </w:rPr>
        <w:t>mecanismo</w:t>
      </w:r>
      <w:r w:rsidRPr="00311237">
        <w:rPr>
          <w:rFonts w:ascii="Times New Roman" w:hAnsi="Times New Roman" w:cs="Times New Roman"/>
          <w:spacing w:val="-13"/>
        </w:rPr>
        <w:t xml:space="preserve"> </w:t>
      </w:r>
      <w:r w:rsidRPr="00311237">
        <w:rPr>
          <w:rFonts w:ascii="Times New Roman" w:hAnsi="Times New Roman" w:cs="Times New Roman"/>
        </w:rPr>
        <w:t>de</w:t>
      </w:r>
      <w:r w:rsidRPr="00311237">
        <w:rPr>
          <w:rFonts w:ascii="Times New Roman" w:hAnsi="Times New Roman" w:cs="Times New Roman"/>
          <w:spacing w:val="-12"/>
        </w:rPr>
        <w:t xml:space="preserve"> </w:t>
      </w:r>
      <w:r w:rsidRPr="00311237">
        <w:rPr>
          <w:rFonts w:ascii="Times New Roman" w:hAnsi="Times New Roman" w:cs="Times New Roman"/>
        </w:rPr>
        <w:t>negociación;</w:t>
      </w:r>
      <w:r w:rsidRPr="00311237">
        <w:rPr>
          <w:rFonts w:ascii="Times New Roman" w:hAnsi="Times New Roman" w:cs="Times New Roman"/>
          <w:spacing w:val="-11"/>
        </w:rPr>
        <w:t xml:space="preserve"> </w:t>
      </w:r>
      <w:r w:rsidRPr="00311237">
        <w:rPr>
          <w:rFonts w:ascii="Times New Roman" w:hAnsi="Times New Roman" w:cs="Times New Roman"/>
        </w:rPr>
        <w:t>en</w:t>
      </w:r>
      <w:r w:rsidRPr="00311237">
        <w:rPr>
          <w:rFonts w:ascii="Times New Roman" w:hAnsi="Times New Roman" w:cs="Times New Roman"/>
          <w:spacing w:val="-14"/>
        </w:rPr>
        <w:t xml:space="preserve"> </w:t>
      </w:r>
      <w:r w:rsidRPr="00311237">
        <w:rPr>
          <w:rFonts w:ascii="Times New Roman" w:hAnsi="Times New Roman" w:cs="Times New Roman"/>
        </w:rPr>
        <w:t>tal</w:t>
      </w:r>
      <w:r w:rsidRPr="00311237">
        <w:rPr>
          <w:rFonts w:ascii="Times New Roman" w:hAnsi="Times New Roman" w:cs="Times New Roman"/>
          <w:spacing w:val="-13"/>
        </w:rPr>
        <w:t xml:space="preserve"> </w:t>
      </w:r>
      <w:r w:rsidRPr="00311237">
        <w:rPr>
          <w:rFonts w:ascii="Times New Roman" w:hAnsi="Times New Roman" w:cs="Times New Roman"/>
        </w:rPr>
        <w:t>caso</w:t>
      </w:r>
      <w:r w:rsidRPr="00311237">
        <w:rPr>
          <w:rFonts w:ascii="Times New Roman" w:hAnsi="Times New Roman" w:cs="Times New Roman"/>
          <w:spacing w:val="-15"/>
        </w:rPr>
        <w:t xml:space="preserve"> </w:t>
      </w:r>
      <w:r w:rsidRPr="00311237">
        <w:rPr>
          <w:rFonts w:ascii="Times New Roman" w:hAnsi="Times New Roman" w:cs="Times New Roman"/>
        </w:rPr>
        <w:t>la</w:t>
      </w:r>
      <w:r w:rsidRPr="00311237">
        <w:rPr>
          <w:rFonts w:ascii="Times New Roman" w:hAnsi="Times New Roman" w:cs="Times New Roman"/>
          <w:spacing w:val="-11"/>
        </w:rPr>
        <w:t xml:space="preserve"> </w:t>
      </w:r>
      <w:r w:rsidRPr="00311237">
        <w:rPr>
          <w:rFonts w:ascii="Times New Roman" w:hAnsi="Times New Roman" w:cs="Times New Roman"/>
        </w:rPr>
        <w:t>pena</w:t>
      </w:r>
      <w:r w:rsidRPr="00311237">
        <w:rPr>
          <w:rFonts w:ascii="Times New Roman" w:hAnsi="Times New Roman" w:cs="Times New Roman"/>
          <w:spacing w:val="-12"/>
        </w:rPr>
        <w:t xml:space="preserve"> </w:t>
      </w:r>
      <w:r w:rsidRPr="00311237">
        <w:rPr>
          <w:rFonts w:ascii="Times New Roman" w:hAnsi="Times New Roman" w:cs="Times New Roman"/>
        </w:rPr>
        <w:t>de</w:t>
      </w:r>
      <w:r w:rsidRPr="00311237">
        <w:rPr>
          <w:rFonts w:ascii="Times New Roman" w:hAnsi="Times New Roman" w:cs="Times New Roman"/>
          <w:spacing w:val="-14"/>
        </w:rPr>
        <w:t xml:space="preserve"> </w:t>
      </w:r>
      <w:r w:rsidRPr="00311237">
        <w:rPr>
          <w:rFonts w:ascii="Times New Roman" w:hAnsi="Times New Roman" w:cs="Times New Roman"/>
        </w:rPr>
        <w:t>prisión</w:t>
      </w:r>
      <w:r w:rsidRPr="00311237">
        <w:rPr>
          <w:rFonts w:ascii="Times New Roman" w:hAnsi="Times New Roman" w:cs="Times New Roman"/>
          <w:spacing w:val="-13"/>
        </w:rPr>
        <w:t xml:space="preserve"> </w:t>
      </w:r>
      <w:r w:rsidRPr="00311237">
        <w:rPr>
          <w:rFonts w:ascii="Times New Roman" w:hAnsi="Times New Roman" w:cs="Times New Roman"/>
        </w:rPr>
        <w:t>imponible deberá estar entre una sexta parte y una cuarta parte de la establecida por el tipo</w:t>
      </w:r>
      <w:r w:rsidRPr="00311237">
        <w:rPr>
          <w:rFonts w:ascii="Times New Roman" w:hAnsi="Times New Roman" w:cs="Times New Roman"/>
          <w:spacing w:val="-18"/>
        </w:rPr>
        <w:t xml:space="preserve"> </w:t>
      </w:r>
      <w:r w:rsidRPr="00311237">
        <w:rPr>
          <w:rFonts w:ascii="Times New Roman" w:hAnsi="Times New Roman" w:cs="Times New Roman"/>
        </w:rPr>
        <w:t>penal.</w:t>
      </w:r>
    </w:p>
    <w:p w:rsidR="00311237" w:rsidRPr="00311237" w:rsidRDefault="00311237" w:rsidP="00311237">
      <w:pPr>
        <w:pStyle w:val="Textoindependiente"/>
        <w:spacing w:before="94"/>
        <w:rPr>
          <w:rFonts w:ascii="Times New Roman" w:hAnsi="Times New Roman" w:cs="Times New Roman"/>
          <w:b/>
        </w:rPr>
      </w:pPr>
    </w:p>
    <w:p w:rsidR="00311237" w:rsidRPr="00311237" w:rsidRDefault="00311237" w:rsidP="00311237">
      <w:pPr>
        <w:pStyle w:val="Textoindependiente"/>
        <w:spacing w:before="94"/>
        <w:rPr>
          <w:rFonts w:ascii="Times New Roman" w:hAnsi="Times New Roman" w:cs="Times New Roman"/>
        </w:rPr>
      </w:pPr>
      <w:r w:rsidRPr="00311237">
        <w:rPr>
          <w:rFonts w:ascii="Times New Roman" w:hAnsi="Times New Roman" w:cs="Times New Roman"/>
          <w:b/>
        </w:rPr>
        <w:t xml:space="preserve">Artículo 6. </w:t>
      </w:r>
      <w:r w:rsidRPr="00311237">
        <w:rPr>
          <w:rFonts w:ascii="Times New Roman" w:hAnsi="Times New Roman" w:cs="Times New Roman"/>
        </w:rPr>
        <w:t>Adiciónese un artículo 100E a la ley 599 del 2000 el cual quedará así:</w:t>
      </w:r>
    </w:p>
    <w:p w:rsidR="00311237" w:rsidRPr="00311237" w:rsidRDefault="00311237" w:rsidP="00711037">
      <w:pPr>
        <w:pStyle w:val="Textoindependiente"/>
        <w:spacing w:before="183"/>
        <w:ind w:right="115"/>
        <w:jc w:val="both"/>
        <w:rPr>
          <w:rFonts w:ascii="Times New Roman" w:hAnsi="Times New Roman" w:cs="Times New Roman"/>
        </w:rPr>
      </w:pPr>
      <w:r w:rsidRPr="00311237">
        <w:rPr>
          <w:rFonts w:ascii="Times New Roman" w:hAnsi="Times New Roman" w:cs="Times New Roman"/>
          <w:b/>
        </w:rPr>
        <w:t xml:space="preserve">Artículo 100E. </w:t>
      </w:r>
      <w:r w:rsidRPr="00311237">
        <w:rPr>
          <w:rFonts w:ascii="Times New Roman" w:hAnsi="Times New Roman" w:cs="Times New Roman"/>
        </w:rPr>
        <w:t>La Fiscalía General de la Nación estará obligada a informar al procesado y en los casos en que sea procedente sobre el mecanismo de negociación de que trata la presente Ley.</w:t>
      </w:r>
    </w:p>
    <w:p w:rsidR="00311237" w:rsidRPr="00311237" w:rsidRDefault="00311237" w:rsidP="00711037">
      <w:pPr>
        <w:pStyle w:val="Textoindependiente"/>
        <w:spacing w:before="168"/>
        <w:ind w:right="113"/>
        <w:jc w:val="both"/>
        <w:rPr>
          <w:rFonts w:ascii="Times New Roman" w:hAnsi="Times New Roman" w:cs="Times New Roman"/>
        </w:rPr>
      </w:pPr>
      <w:r w:rsidRPr="00311237">
        <w:rPr>
          <w:rFonts w:ascii="Times New Roman" w:hAnsi="Times New Roman" w:cs="Times New Roman"/>
        </w:rPr>
        <w:t>El indiciado con la presencia del defensor manifestará la intención de llegar a un acuerdo de negociación con la víctima del delito. El Fiscal delegado según el caso, dirigirá la negociación</w:t>
      </w:r>
      <w:r w:rsidRPr="00311237">
        <w:rPr>
          <w:rFonts w:ascii="Times New Roman" w:hAnsi="Times New Roman" w:cs="Times New Roman"/>
          <w:spacing w:val="-7"/>
        </w:rPr>
        <w:t xml:space="preserve"> </w:t>
      </w:r>
      <w:r w:rsidRPr="00311237">
        <w:rPr>
          <w:rFonts w:ascii="Times New Roman" w:hAnsi="Times New Roman" w:cs="Times New Roman"/>
        </w:rPr>
        <w:t>y</w:t>
      </w:r>
      <w:r w:rsidRPr="00311237">
        <w:rPr>
          <w:rFonts w:ascii="Times New Roman" w:hAnsi="Times New Roman" w:cs="Times New Roman"/>
          <w:spacing w:val="-7"/>
        </w:rPr>
        <w:t xml:space="preserve"> </w:t>
      </w:r>
      <w:r w:rsidRPr="00311237">
        <w:rPr>
          <w:rFonts w:ascii="Times New Roman" w:hAnsi="Times New Roman" w:cs="Times New Roman"/>
        </w:rPr>
        <w:t>las</w:t>
      </w:r>
      <w:r w:rsidRPr="00311237">
        <w:rPr>
          <w:rFonts w:ascii="Times New Roman" w:hAnsi="Times New Roman" w:cs="Times New Roman"/>
          <w:spacing w:val="-5"/>
        </w:rPr>
        <w:t xml:space="preserve"> </w:t>
      </w:r>
      <w:r w:rsidRPr="00311237">
        <w:rPr>
          <w:rFonts w:ascii="Times New Roman" w:hAnsi="Times New Roman" w:cs="Times New Roman"/>
        </w:rPr>
        <w:t>condiciones</w:t>
      </w:r>
      <w:r w:rsidRPr="00311237">
        <w:rPr>
          <w:rFonts w:ascii="Times New Roman" w:hAnsi="Times New Roman" w:cs="Times New Roman"/>
          <w:spacing w:val="-6"/>
        </w:rPr>
        <w:t xml:space="preserve"> </w:t>
      </w:r>
      <w:r w:rsidRPr="00311237">
        <w:rPr>
          <w:rFonts w:ascii="Times New Roman" w:hAnsi="Times New Roman" w:cs="Times New Roman"/>
        </w:rPr>
        <w:t>de</w:t>
      </w:r>
      <w:r w:rsidRPr="00311237">
        <w:rPr>
          <w:rFonts w:ascii="Times New Roman" w:hAnsi="Times New Roman" w:cs="Times New Roman"/>
          <w:spacing w:val="-8"/>
        </w:rPr>
        <w:t xml:space="preserve"> </w:t>
      </w:r>
      <w:r w:rsidRPr="00311237">
        <w:rPr>
          <w:rFonts w:ascii="Times New Roman" w:hAnsi="Times New Roman" w:cs="Times New Roman"/>
        </w:rPr>
        <w:t>reparación</w:t>
      </w:r>
      <w:r w:rsidRPr="00311237">
        <w:rPr>
          <w:rFonts w:ascii="Times New Roman" w:hAnsi="Times New Roman" w:cs="Times New Roman"/>
          <w:spacing w:val="-8"/>
        </w:rPr>
        <w:t xml:space="preserve"> </w:t>
      </w:r>
      <w:r w:rsidRPr="00311237">
        <w:rPr>
          <w:rFonts w:ascii="Times New Roman" w:hAnsi="Times New Roman" w:cs="Times New Roman"/>
        </w:rPr>
        <w:t>a</w:t>
      </w:r>
      <w:r w:rsidRPr="00311237">
        <w:rPr>
          <w:rFonts w:ascii="Times New Roman" w:hAnsi="Times New Roman" w:cs="Times New Roman"/>
          <w:spacing w:val="-5"/>
        </w:rPr>
        <w:t xml:space="preserve"> </w:t>
      </w:r>
      <w:r w:rsidRPr="00311237">
        <w:rPr>
          <w:rFonts w:ascii="Times New Roman" w:hAnsi="Times New Roman" w:cs="Times New Roman"/>
        </w:rPr>
        <w:t>la</w:t>
      </w:r>
      <w:r w:rsidRPr="00311237">
        <w:rPr>
          <w:rFonts w:ascii="Times New Roman" w:hAnsi="Times New Roman" w:cs="Times New Roman"/>
          <w:spacing w:val="-9"/>
        </w:rPr>
        <w:t xml:space="preserve"> </w:t>
      </w:r>
      <w:r w:rsidRPr="00311237">
        <w:rPr>
          <w:rFonts w:ascii="Times New Roman" w:hAnsi="Times New Roman" w:cs="Times New Roman"/>
        </w:rPr>
        <w:t>víctima.</w:t>
      </w:r>
      <w:r w:rsidRPr="00311237">
        <w:rPr>
          <w:rFonts w:ascii="Times New Roman" w:hAnsi="Times New Roman" w:cs="Times New Roman"/>
          <w:spacing w:val="-5"/>
        </w:rPr>
        <w:t xml:space="preserve"> </w:t>
      </w:r>
      <w:r w:rsidRPr="00311237">
        <w:rPr>
          <w:rFonts w:ascii="Times New Roman" w:hAnsi="Times New Roman" w:cs="Times New Roman"/>
        </w:rPr>
        <w:t>En</w:t>
      </w:r>
      <w:r w:rsidRPr="00311237">
        <w:rPr>
          <w:rFonts w:ascii="Times New Roman" w:hAnsi="Times New Roman" w:cs="Times New Roman"/>
          <w:spacing w:val="-8"/>
        </w:rPr>
        <w:t xml:space="preserve"> </w:t>
      </w:r>
      <w:r w:rsidRPr="00311237">
        <w:rPr>
          <w:rFonts w:ascii="Times New Roman" w:hAnsi="Times New Roman" w:cs="Times New Roman"/>
        </w:rPr>
        <w:t>la</w:t>
      </w:r>
      <w:r w:rsidRPr="00311237">
        <w:rPr>
          <w:rFonts w:ascii="Times New Roman" w:hAnsi="Times New Roman" w:cs="Times New Roman"/>
          <w:spacing w:val="-6"/>
        </w:rPr>
        <w:t xml:space="preserve"> </w:t>
      </w:r>
      <w:r w:rsidRPr="00311237">
        <w:rPr>
          <w:rFonts w:ascii="Times New Roman" w:hAnsi="Times New Roman" w:cs="Times New Roman"/>
        </w:rPr>
        <w:t>negociación</w:t>
      </w:r>
      <w:r w:rsidRPr="00311237">
        <w:rPr>
          <w:rFonts w:ascii="Times New Roman" w:hAnsi="Times New Roman" w:cs="Times New Roman"/>
          <w:spacing w:val="-8"/>
        </w:rPr>
        <w:t xml:space="preserve"> </w:t>
      </w:r>
      <w:r w:rsidRPr="00311237">
        <w:rPr>
          <w:rFonts w:ascii="Times New Roman" w:hAnsi="Times New Roman" w:cs="Times New Roman"/>
        </w:rPr>
        <w:t>se</w:t>
      </w:r>
      <w:r w:rsidRPr="00311237">
        <w:rPr>
          <w:rFonts w:ascii="Times New Roman" w:hAnsi="Times New Roman" w:cs="Times New Roman"/>
          <w:spacing w:val="-8"/>
        </w:rPr>
        <w:t xml:space="preserve"> </w:t>
      </w:r>
      <w:r w:rsidRPr="00311237">
        <w:rPr>
          <w:rFonts w:ascii="Times New Roman" w:hAnsi="Times New Roman" w:cs="Times New Roman"/>
        </w:rPr>
        <w:t>observará</w:t>
      </w:r>
      <w:r w:rsidRPr="00311237">
        <w:rPr>
          <w:rFonts w:ascii="Times New Roman" w:hAnsi="Times New Roman" w:cs="Times New Roman"/>
          <w:spacing w:val="-7"/>
        </w:rPr>
        <w:t xml:space="preserve"> </w:t>
      </w:r>
      <w:r w:rsidRPr="00311237">
        <w:rPr>
          <w:rFonts w:ascii="Times New Roman" w:hAnsi="Times New Roman" w:cs="Times New Roman"/>
        </w:rPr>
        <w:t>lo dispuesto en el artículo 349 del Código de Procedimiento Penal (Ley 906 de</w:t>
      </w:r>
      <w:r w:rsidRPr="00311237">
        <w:rPr>
          <w:rFonts w:ascii="Times New Roman" w:hAnsi="Times New Roman" w:cs="Times New Roman"/>
          <w:spacing w:val="-14"/>
        </w:rPr>
        <w:t xml:space="preserve"> </w:t>
      </w:r>
      <w:r w:rsidRPr="00311237">
        <w:rPr>
          <w:rFonts w:ascii="Times New Roman" w:hAnsi="Times New Roman" w:cs="Times New Roman"/>
        </w:rPr>
        <w:t>2004).</w:t>
      </w:r>
    </w:p>
    <w:p w:rsidR="00311237" w:rsidRPr="00311237" w:rsidRDefault="00311237" w:rsidP="00711037">
      <w:pPr>
        <w:pStyle w:val="Textoindependiente"/>
        <w:spacing w:before="158"/>
        <w:ind w:right="115"/>
        <w:jc w:val="both"/>
        <w:rPr>
          <w:rFonts w:ascii="Times New Roman" w:hAnsi="Times New Roman" w:cs="Times New Roman"/>
        </w:rPr>
      </w:pPr>
      <w:r w:rsidRPr="00311237">
        <w:rPr>
          <w:rFonts w:ascii="Times New Roman" w:hAnsi="Times New Roman" w:cs="Times New Roman"/>
        </w:rPr>
        <w:t>Una vez acordada la negociación, se levantará un escrito que contenga los términos del acuerdo. En la audiencia de formulación de imputación las partes manifestarán que existe acuerdo de negociación concluida, y finalizada la audiencia ante el Juez de Control de Garantías este remitirá inmediatamente el proceso al Juez de Conocimiento, quien hará control de legalidad y proferirá sentencia a los diez (10) días siguientes.</w:t>
      </w:r>
    </w:p>
    <w:p w:rsidR="00311237" w:rsidRPr="00311237" w:rsidRDefault="00311237" w:rsidP="00711037">
      <w:pPr>
        <w:pStyle w:val="Textoindependiente"/>
        <w:spacing w:before="158"/>
        <w:ind w:right="116"/>
        <w:jc w:val="both"/>
        <w:rPr>
          <w:rFonts w:ascii="Times New Roman" w:hAnsi="Times New Roman" w:cs="Times New Roman"/>
        </w:rPr>
      </w:pPr>
      <w:r w:rsidRPr="00311237">
        <w:rPr>
          <w:rFonts w:ascii="Times New Roman" w:hAnsi="Times New Roman" w:cs="Times New Roman"/>
        </w:rPr>
        <w:t>De no existir acuerdo, el mecanismo de negociación no será procedente.</w:t>
      </w:r>
    </w:p>
    <w:p w:rsidR="00311237" w:rsidRPr="00311237" w:rsidRDefault="00311237" w:rsidP="00711037">
      <w:pPr>
        <w:pStyle w:val="Textoindependiente"/>
        <w:spacing w:before="158"/>
        <w:ind w:right="116"/>
        <w:jc w:val="both"/>
        <w:rPr>
          <w:rFonts w:ascii="Times New Roman" w:hAnsi="Times New Roman" w:cs="Times New Roman"/>
        </w:rPr>
      </w:pPr>
    </w:p>
    <w:p w:rsidR="00311237" w:rsidRPr="00311237" w:rsidRDefault="00311237" w:rsidP="00311237">
      <w:pPr>
        <w:pStyle w:val="Ttulo1"/>
        <w:rPr>
          <w:sz w:val="24"/>
          <w:szCs w:val="24"/>
        </w:rPr>
      </w:pPr>
      <w:r w:rsidRPr="00311237">
        <w:rPr>
          <w:sz w:val="24"/>
          <w:szCs w:val="24"/>
        </w:rPr>
        <w:t>Artículo 7. Adi</w:t>
      </w:r>
      <w:r w:rsidR="00D504D4">
        <w:rPr>
          <w:sz w:val="24"/>
          <w:szCs w:val="24"/>
        </w:rPr>
        <w:t>ciónese un artículo 319A a la L</w:t>
      </w:r>
      <w:r w:rsidRPr="00311237">
        <w:rPr>
          <w:sz w:val="24"/>
          <w:szCs w:val="24"/>
        </w:rPr>
        <w:t>ey 906 de 2004 el cual quedará así:</w:t>
      </w:r>
    </w:p>
    <w:p w:rsidR="00311237" w:rsidRPr="00311237" w:rsidRDefault="00311237" w:rsidP="00711037">
      <w:pPr>
        <w:pStyle w:val="Textoindependiente"/>
        <w:spacing w:before="184"/>
        <w:ind w:right="112"/>
        <w:jc w:val="both"/>
        <w:rPr>
          <w:rFonts w:ascii="Times New Roman" w:hAnsi="Times New Roman" w:cs="Times New Roman"/>
        </w:rPr>
      </w:pPr>
      <w:r w:rsidRPr="00311237">
        <w:rPr>
          <w:rFonts w:ascii="Times New Roman" w:hAnsi="Times New Roman" w:cs="Times New Roman"/>
          <w:b/>
        </w:rPr>
        <w:lastRenderedPageBreak/>
        <w:t>Artículo</w:t>
      </w:r>
      <w:r w:rsidRPr="00311237">
        <w:rPr>
          <w:rFonts w:ascii="Times New Roman" w:hAnsi="Times New Roman" w:cs="Times New Roman"/>
          <w:b/>
          <w:spacing w:val="-6"/>
        </w:rPr>
        <w:t xml:space="preserve"> </w:t>
      </w:r>
      <w:r w:rsidRPr="00311237">
        <w:rPr>
          <w:rFonts w:ascii="Times New Roman" w:hAnsi="Times New Roman" w:cs="Times New Roman"/>
          <w:b/>
        </w:rPr>
        <w:t>319A.</w:t>
      </w:r>
      <w:r w:rsidRPr="00311237">
        <w:rPr>
          <w:rFonts w:ascii="Times New Roman" w:hAnsi="Times New Roman" w:cs="Times New Roman"/>
          <w:b/>
          <w:spacing w:val="-6"/>
        </w:rPr>
        <w:t xml:space="preserve"> </w:t>
      </w:r>
      <w:r w:rsidRPr="00311237">
        <w:rPr>
          <w:rFonts w:ascii="Times New Roman" w:hAnsi="Times New Roman" w:cs="Times New Roman"/>
          <w:b/>
        </w:rPr>
        <w:t>De</w:t>
      </w:r>
      <w:r w:rsidRPr="00311237">
        <w:rPr>
          <w:rFonts w:ascii="Times New Roman" w:hAnsi="Times New Roman" w:cs="Times New Roman"/>
          <w:b/>
          <w:spacing w:val="-8"/>
        </w:rPr>
        <w:t xml:space="preserve"> </w:t>
      </w:r>
      <w:r w:rsidRPr="00311237">
        <w:rPr>
          <w:rFonts w:ascii="Times New Roman" w:hAnsi="Times New Roman" w:cs="Times New Roman"/>
          <w:b/>
        </w:rPr>
        <w:t>la</w:t>
      </w:r>
      <w:r w:rsidRPr="00311237">
        <w:rPr>
          <w:rFonts w:ascii="Times New Roman" w:hAnsi="Times New Roman" w:cs="Times New Roman"/>
          <w:b/>
          <w:spacing w:val="-5"/>
        </w:rPr>
        <w:t xml:space="preserve"> </w:t>
      </w:r>
      <w:r w:rsidRPr="00311237">
        <w:rPr>
          <w:rFonts w:ascii="Times New Roman" w:hAnsi="Times New Roman" w:cs="Times New Roman"/>
          <w:b/>
        </w:rPr>
        <w:t>Fianza.</w:t>
      </w:r>
      <w:r w:rsidRPr="00311237">
        <w:rPr>
          <w:rFonts w:ascii="Times New Roman" w:hAnsi="Times New Roman" w:cs="Times New Roman"/>
          <w:b/>
          <w:spacing w:val="-5"/>
        </w:rPr>
        <w:t xml:space="preserve"> </w:t>
      </w:r>
      <w:r w:rsidRPr="00311237">
        <w:rPr>
          <w:rFonts w:ascii="Times New Roman" w:hAnsi="Times New Roman" w:cs="Times New Roman"/>
        </w:rPr>
        <w:t>Para</w:t>
      </w:r>
      <w:r w:rsidRPr="00311237">
        <w:rPr>
          <w:rFonts w:ascii="Times New Roman" w:hAnsi="Times New Roman" w:cs="Times New Roman"/>
          <w:spacing w:val="-7"/>
        </w:rPr>
        <w:t xml:space="preserve"> </w:t>
      </w:r>
      <w:r w:rsidRPr="00311237">
        <w:rPr>
          <w:rFonts w:ascii="Times New Roman" w:hAnsi="Times New Roman" w:cs="Times New Roman"/>
        </w:rPr>
        <w:t>los</w:t>
      </w:r>
      <w:r w:rsidRPr="00311237">
        <w:rPr>
          <w:rFonts w:ascii="Times New Roman" w:hAnsi="Times New Roman" w:cs="Times New Roman"/>
          <w:spacing w:val="-5"/>
        </w:rPr>
        <w:t xml:space="preserve"> </w:t>
      </w:r>
      <w:r w:rsidRPr="00311237">
        <w:rPr>
          <w:rFonts w:ascii="Times New Roman" w:hAnsi="Times New Roman" w:cs="Times New Roman"/>
        </w:rPr>
        <w:t>delitos</w:t>
      </w:r>
      <w:r w:rsidRPr="00311237">
        <w:rPr>
          <w:rFonts w:ascii="Times New Roman" w:hAnsi="Times New Roman" w:cs="Times New Roman"/>
          <w:spacing w:val="-8"/>
        </w:rPr>
        <w:t xml:space="preserve"> </w:t>
      </w:r>
      <w:r w:rsidRPr="00311237">
        <w:rPr>
          <w:rFonts w:ascii="Times New Roman" w:hAnsi="Times New Roman" w:cs="Times New Roman"/>
        </w:rPr>
        <w:t>contenidos</w:t>
      </w:r>
      <w:r w:rsidRPr="00311237">
        <w:rPr>
          <w:rFonts w:ascii="Times New Roman" w:hAnsi="Times New Roman" w:cs="Times New Roman"/>
          <w:spacing w:val="-6"/>
        </w:rPr>
        <w:t xml:space="preserve"> </w:t>
      </w:r>
      <w:r w:rsidRPr="00311237">
        <w:rPr>
          <w:rFonts w:ascii="Times New Roman" w:hAnsi="Times New Roman" w:cs="Times New Roman"/>
        </w:rPr>
        <w:t>en</w:t>
      </w:r>
      <w:r w:rsidRPr="00311237">
        <w:rPr>
          <w:rFonts w:ascii="Times New Roman" w:hAnsi="Times New Roman" w:cs="Times New Roman"/>
          <w:spacing w:val="-6"/>
        </w:rPr>
        <w:t xml:space="preserve"> </w:t>
      </w:r>
      <w:r w:rsidRPr="00311237">
        <w:rPr>
          <w:rFonts w:ascii="Times New Roman" w:hAnsi="Times New Roman" w:cs="Times New Roman"/>
        </w:rPr>
        <w:t>el</w:t>
      </w:r>
      <w:r w:rsidRPr="00311237">
        <w:rPr>
          <w:rFonts w:ascii="Times New Roman" w:hAnsi="Times New Roman" w:cs="Times New Roman"/>
          <w:spacing w:val="-6"/>
        </w:rPr>
        <w:t xml:space="preserve"> </w:t>
      </w:r>
      <w:r w:rsidRPr="00311237">
        <w:rPr>
          <w:rFonts w:ascii="Times New Roman" w:hAnsi="Times New Roman" w:cs="Times New Roman"/>
        </w:rPr>
        <w:t>numeral</w:t>
      </w:r>
      <w:r w:rsidRPr="00311237">
        <w:rPr>
          <w:rFonts w:ascii="Times New Roman" w:hAnsi="Times New Roman" w:cs="Times New Roman"/>
          <w:spacing w:val="-5"/>
        </w:rPr>
        <w:t xml:space="preserve"> </w:t>
      </w:r>
      <w:r w:rsidRPr="00311237">
        <w:rPr>
          <w:rFonts w:ascii="Times New Roman" w:hAnsi="Times New Roman" w:cs="Times New Roman"/>
        </w:rPr>
        <w:t>primero</w:t>
      </w:r>
      <w:r w:rsidRPr="00311237">
        <w:rPr>
          <w:rFonts w:ascii="Times New Roman" w:hAnsi="Times New Roman" w:cs="Times New Roman"/>
          <w:spacing w:val="-7"/>
        </w:rPr>
        <w:t xml:space="preserve"> </w:t>
      </w:r>
      <w:r w:rsidRPr="00311237">
        <w:rPr>
          <w:rFonts w:ascii="Times New Roman" w:hAnsi="Times New Roman" w:cs="Times New Roman"/>
        </w:rPr>
        <w:t>del</w:t>
      </w:r>
      <w:r w:rsidRPr="00311237">
        <w:rPr>
          <w:rFonts w:ascii="Times New Roman" w:hAnsi="Times New Roman" w:cs="Times New Roman"/>
          <w:spacing w:val="-7"/>
        </w:rPr>
        <w:t xml:space="preserve"> </w:t>
      </w:r>
      <w:r w:rsidRPr="00311237">
        <w:rPr>
          <w:rFonts w:ascii="Times New Roman" w:hAnsi="Times New Roman" w:cs="Times New Roman"/>
        </w:rPr>
        <w:t>artículo 100B del Código Penal y aquellos contenidos en el artículo 74 de la presente Ley, el juez de control de garantías fijará una fianza de hasta cien (100) salarios mínimos legales mensuales vigentes, atendiendo los principios de proporcionalidad, racionalidad, gravedad de la conducta punible, y las condiciones económicas del</w:t>
      </w:r>
      <w:r w:rsidRPr="00311237">
        <w:rPr>
          <w:rFonts w:ascii="Times New Roman" w:hAnsi="Times New Roman" w:cs="Times New Roman"/>
          <w:spacing w:val="-5"/>
        </w:rPr>
        <w:t xml:space="preserve"> </w:t>
      </w:r>
      <w:r w:rsidRPr="00311237">
        <w:rPr>
          <w:rFonts w:ascii="Times New Roman" w:hAnsi="Times New Roman" w:cs="Times New Roman"/>
        </w:rPr>
        <w:t>procesado.</w:t>
      </w:r>
    </w:p>
    <w:p w:rsidR="00311237" w:rsidRPr="00311237" w:rsidRDefault="00311237" w:rsidP="00711037">
      <w:pPr>
        <w:pStyle w:val="Textoindependiente"/>
        <w:spacing w:before="158"/>
        <w:ind w:right="112"/>
        <w:jc w:val="both"/>
        <w:rPr>
          <w:rFonts w:ascii="Times New Roman" w:hAnsi="Times New Roman" w:cs="Times New Roman"/>
        </w:rPr>
      </w:pPr>
      <w:r w:rsidRPr="00311237">
        <w:rPr>
          <w:rFonts w:ascii="Times New Roman" w:hAnsi="Times New Roman" w:cs="Times New Roman"/>
        </w:rPr>
        <w:t>La Fianza se consignará a órdenes del despacho judicial correspondiente, que tendrá a cargo la custodia del dinero hasta el cumplimiento de las obligaciones impuestas.</w:t>
      </w:r>
    </w:p>
    <w:p w:rsidR="00311237" w:rsidRPr="00311237" w:rsidRDefault="00D504D4" w:rsidP="00711037">
      <w:pPr>
        <w:pStyle w:val="Textoindependiente"/>
        <w:spacing w:before="158"/>
        <w:ind w:right="116"/>
        <w:jc w:val="both"/>
        <w:rPr>
          <w:rFonts w:ascii="Times New Roman" w:hAnsi="Times New Roman" w:cs="Times New Roman"/>
        </w:rPr>
      </w:pPr>
      <w:r>
        <w:rPr>
          <w:rFonts w:ascii="Times New Roman" w:hAnsi="Times New Roman" w:cs="Times New Roman"/>
        </w:rPr>
        <w:t>En caso de incumplimiento, el</w:t>
      </w:r>
      <w:r w:rsidR="00311237" w:rsidRPr="00311237">
        <w:rPr>
          <w:rFonts w:ascii="Times New Roman" w:hAnsi="Times New Roman" w:cs="Times New Roman"/>
        </w:rPr>
        <w:t xml:space="preserve"> monto </w:t>
      </w:r>
      <w:r>
        <w:rPr>
          <w:rFonts w:ascii="Times New Roman" w:hAnsi="Times New Roman" w:cs="Times New Roman"/>
        </w:rPr>
        <w:t xml:space="preserve">deberá </w:t>
      </w:r>
      <w:r w:rsidR="00311237" w:rsidRPr="00311237">
        <w:rPr>
          <w:rFonts w:ascii="Times New Roman" w:hAnsi="Times New Roman" w:cs="Times New Roman"/>
        </w:rPr>
        <w:t xml:space="preserve">ser </w:t>
      </w:r>
      <w:r>
        <w:rPr>
          <w:rFonts w:ascii="Times New Roman" w:hAnsi="Times New Roman" w:cs="Times New Roman"/>
        </w:rPr>
        <w:t xml:space="preserve">utilizado para la </w:t>
      </w:r>
      <w:r w:rsidR="00311237" w:rsidRPr="00311237">
        <w:rPr>
          <w:rFonts w:ascii="Times New Roman" w:hAnsi="Times New Roman" w:cs="Times New Roman"/>
        </w:rPr>
        <w:t>reparación</w:t>
      </w:r>
      <w:r>
        <w:rPr>
          <w:rFonts w:ascii="Times New Roman" w:hAnsi="Times New Roman" w:cs="Times New Roman"/>
        </w:rPr>
        <w:t xml:space="preserve"> de la víctima</w:t>
      </w:r>
      <w:r w:rsidR="00F60522">
        <w:rPr>
          <w:rFonts w:ascii="Times New Roman" w:hAnsi="Times New Roman" w:cs="Times New Roman"/>
        </w:rPr>
        <w:t>;</w:t>
      </w:r>
      <w:r w:rsidR="002162FA">
        <w:rPr>
          <w:rFonts w:ascii="Times New Roman" w:hAnsi="Times New Roman" w:cs="Times New Roman"/>
        </w:rPr>
        <w:t xml:space="preserve"> </w:t>
      </w:r>
      <w:r>
        <w:rPr>
          <w:rFonts w:ascii="Times New Roman" w:hAnsi="Times New Roman" w:cs="Times New Roman"/>
        </w:rPr>
        <w:t>si una vez reparad</w:t>
      </w:r>
      <w:r w:rsidR="00F60522">
        <w:rPr>
          <w:rFonts w:ascii="Times New Roman" w:hAnsi="Times New Roman" w:cs="Times New Roman"/>
        </w:rPr>
        <w:t>a</w:t>
      </w:r>
      <w:r>
        <w:rPr>
          <w:rFonts w:ascii="Times New Roman" w:hAnsi="Times New Roman" w:cs="Times New Roman"/>
        </w:rPr>
        <w:t xml:space="preserve"> la víctima, y si quedan recursos de la fianza, estos d</w:t>
      </w:r>
      <w:r w:rsidR="00311237" w:rsidRPr="00311237">
        <w:rPr>
          <w:rFonts w:ascii="Times New Roman" w:hAnsi="Times New Roman" w:cs="Times New Roman"/>
        </w:rPr>
        <w:t>inero</w:t>
      </w:r>
      <w:r>
        <w:rPr>
          <w:rFonts w:ascii="Times New Roman" w:hAnsi="Times New Roman" w:cs="Times New Roman"/>
        </w:rPr>
        <w:t>s</w:t>
      </w:r>
      <w:r w:rsidR="00311237" w:rsidRPr="00311237">
        <w:rPr>
          <w:rFonts w:ascii="Times New Roman" w:hAnsi="Times New Roman" w:cs="Times New Roman"/>
        </w:rPr>
        <w:t xml:space="preserve"> se destinará</w:t>
      </w:r>
      <w:r>
        <w:rPr>
          <w:rFonts w:ascii="Times New Roman" w:hAnsi="Times New Roman" w:cs="Times New Roman"/>
        </w:rPr>
        <w:t>n</w:t>
      </w:r>
      <w:r w:rsidR="00311237" w:rsidRPr="00311237">
        <w:rPr>
          <w:rFonts w:ascii="Times New Roman" w:hAnsi="Times New Roman" w:cs="Times New Roman"/>
        </w:rPr>
        <w:t xml:space="preserve"> al mantenimiento o mejoramiento de Unidades de Reacción Inmediata (URI), Unidades de paso y de establecimientos carcelarios.</w:t>
      </w:r>
    </w:p>
    <w:p w:rsidR="00311237" w:rsidRDefault="00D504D4" w:rsidP="00711037">
      <w:pPr>
        <w:pStyle w:val="Textoindependiente"/>
        <w:spacing w:before="160"/>
        <w:ind w:right="120"/>
        <w:jc w:val="both"/>
        <w:rPr>
          <w:rFonts w:ascii="Times New Roman" w:hAnsi="Times New Roman" w:cs="Times New Roman"/>
          <w:b/>
        </w:rPr>
      </w:pPr>
      <w:r>
        <w:rPr>
          <w:rFonts w:ascii="Times New Roman" w:hAnsi="Times New Roman" w:cs="Times New Roman"/>
          <w:b/>
        </w:rPr>
        <w:t xml:space="preserve">Parágrafo. </w:t>
      </w:r>
      <w:r w:rsidRPr="002162FA">
        <w:rPr>
          <w:rFonts w:ascii="Times New Roman" w:hAnsi="Times New Roman" w:cs="Times New Roman"/>
        </w:rPr>
        <w:t xml:space="preserve">La fianza solo será admitida por una única vez. Cuando la conducta sea reiterativa, la persona </w:t>
      </w:r>
      <w:r w:rsidR="002162FA" w:rsidRPr="002162FA">
        <w:rPr>
          <w:rFonts w:ascii="Times New Roman" w:hAnsi="Times New Roman" w:cs="Times New Roman"/>
        </w:rPr>
        <w:t>reincidente ser</w:t>
      </w:r>
      <w:r w:rsidR="002162FA">
        <w:rPr>
          <w:rFonts w:ascii="Times New Roman" w:hAnsi="Times New Roman" w:cs="Times New Roman"/>
        </w:rPr>
        <w:t>á proce</w:t>
      </w:r>
      <w:r w:rsidR="002162FA" w:rsidRPr="002162FA">
        <w:rPr>
          <w:rFonts w:ascii="Times New Roman" w:hAnsi="Times New Roman" w:cs="Times New Roman"/>
        </w:rPr>
        <w:t>sada de acuerdo con</w:t>
      </w:r>
      <w:bookmarkStart w:id="0" w:name="_GoBack"/>
      <w:bookmarkEnd w:id="0"/>
      <w:r w:rsidR="002162FA" w:rsidRPr="002162FA">
        <w:rPr>
          <w:rFonts w:ascii="Times New Roman" w:hAnsi="Times New Roman" w:cs="Times New Roman"/>
        </w:rPr>
        <w:t xml:space="preserve"> lo contenido en el presente capítulo.</w:t>
      </w:r>
    </w:p>
    <w:p w:rsidR="002162FA" w:rsidRPr="002162FA" w:rsidRDefault="002162FA" w:rsidP="00711037">
      <w:pPr>
        <w:pStyle w:val="Textoindependiente"/>
        <w:spacing w:before="160"/>
        <w:ind w:right="120"/>
        <w:jc w:val="both"/>
        <w:rPr>
          <w:rFonts w:ascii="Times New Roman" w:hAnsi="Times New Roman" w:cs="Times New Roman"/>
        </w:rPr>
      </w:pPr>
      <w:r>
        <w:rPr>
          <w:rFonts w:ascii="Times New Roman" w:hAnsi="Times New Roman" w:cs="Times New Roman"/>
          <w:b/>
        </w:rPr>
        <w:t xml:space="preserve">Parágrafo 2. </w:t>
      </w:r>
      <w:r w:rsidRPr="002162FA">
        <w:rPr>
          <w:rFonts w:ascii="Times New Roman" w:hAnsi="Times New Roman" w:cs="Times New Roman"/>
        </w:rPr>
        <w:t xml:space="preserve">En caso de probarse la incapacidad económica del procesado para cumplir con el pago de la fianza, y con aprobación de la víctima, podrá concederse el beneficio a que haya lugar. </w:t>
      </w:r>
    </w:p>
    <w:p w:rsidR="002162FA" w:rsidRDefault="002162FA" w:rsidP="00711037">
      <w:pPr>
        <w:pStyle w:val="Textoindependiente"/>
        <w:spacing w:before="160"/>
        <w:ind w:right="120"/>
        <w:jc w:val="both"/>
        <w:rPr>
          <w:rFonts w:ascii="Times New Roman" w:hAnsi="Times New Roman" w:cs="Times New Roman"/>
          <w:b/>
        </w:rPr>
      </w:pPr>
    </w:p>
    <w:p w:rsidR="00311237" w:rsidRPr="00311237" w:rsidRDefault="00311237" w:rsidP="00711037">
      <w:pPr>
        <w:pStyle w:val="Textoindependiente"/>
        <w:spacing w:before="160"/>
        <w:ind w:right="120"/>
        <w:jc w:val="both"/>
        <w:rPr>
          <w:rFonts w:ascii="Times New Roman" w:hAnsi="Times New Roman" w:cs="Times New Roman"/>
        </w:rPr>
      </w:pPr>
      <w:r w:rsidRPr="00311237">
        <w:rPr>
          <w:rFonts w:ascii="Times New Roman" w:hAnsi="Times New Roman" w:cs="Times New Roman"/>
          <w:b/>
        </w:rPr>
        <w:t xml:space="preserve">Artículo 8. Vigencia. </w:t>
      </w:r>
      <w:r w:rsidRPr="00311237">
        <w:rPr>
          <w:rFonts w:ascii="Times New Roman" w:hAnsi="Times New Roman" w:cs="Times New Roman"/>
        </w:rPr>
        <w:t>La presente ley rige a partir de su vigencia y deroga todas las disposiciones que le sean contrarias.</w:t>
      </w:r>
    </w:p>
    <w:p w:rsidR="00311237" w:rsidRPr="00311237" w:rsidRDefault="00311237" w:rsidP="00311237">
      <w:pPr>
        <w:pStyle w:val="Cuadrculamedia21"/>
        <w:jc w:val="both"/>
        <w:rPr>
          <w:b/>
          <w:lang w:val="es-ES"/>
        </w:rPr>
      </w:pPr>
    </w:p>
    <w:p w:rsidR="00311237" w:rsidRPr="00311237" w:rsidRDefault="00311237" w:rsidP="00311237">
      <w:pPr>
        <w:jc w:val="both"/>
        <w:rPr>
          <w:lang w:val="es-ES"/>
        </w:rPr>
      </w:pPr>
    </w:p>
    <w:p w:rsidR="00311237" w:rsidRPr="00311237" w:rsidRDefault="00311237" w:rsidP="00311237">
      <w:pPr>
        <w:jc w:val="both"/>
      </w:pPr>
    </w:p>
    <w:p w:rsidR="008D0B2B" w:rsidRPr="00311237" w:rsidRDefault="00127274">
      <w:pPr>
        <w:spacing w:after="160" w:line="259" w:lineRule="auto"/>
        <w:jc w:val="both"/>
        <w:rPr>
          <w:rFonts w:eastAsia="Century Gothic"/>
          <w:color w:val="000000" w:themeColor="text1"/>
          <w:highlight w:val="white"/>
        </w:rPr>
      </w:pPr>
      <w:r w:rsidRPr="00311237">
        <w:rPr>
          <w:rFonts w:eastAsia="Century Gothic"/>
          <w:highlight w:val="white"/>
        </w:rPr>
        <w:t xml:space="preserve">En los anteriores términos fue aprobado </w:t>
      </w:r>
      <w:r w:rsidR="008455FF" w:rsidRPr="00311237">
        <w:rPr>
          <w:rFonts w:eastAsia="Century Gothic"/>
          <w:highlight w:val="white"/>
        </w:rPr>
        <w:t>con modificaciones el presente P</w:t>
      </w:r>
      <w:r w:rsidRPr="00311237">
        <w:rPr>
          <w:rFonts w:eastAsia="Century Gothic"/>
          <w:highlight w:val="white"/>
        </w:rPr>
        <w:t>royecto d</w:t>
      </w:r>
      <w:r w:rsidR="008455FF" w:rsidRPr="00311237">
        <w:rPr>
          <w:rFonts w:eastAsia="Century Gothic"/>
          <w:highlight w:val="white"/>
        </w:rPr>
        <w:t>e Ley según consta en A</w:t>
      </w:r>
      <w:r w:rsidR="006625C1" w:rsidRPr="00311237">
        <w:rPr>
          <w:rFonts w:eastAsia="Century Gothic"/>
          <w:highlight w:val="white"/>
        </w:rPr>
        <w:t xml:space="preserve">cta </w:t>
      </w:r>
      <w:r w:rsidR="003A3963" w:rsidRPr="00311237">
        <w:rPr>
          <w:rFonts w:eastAsia="Century Gothic"/>
          <w:highlight w:val="white"/>
        </w:rPr>
        <w:t xml:space="preserve">No. </w:t>
      </w:r>
      <w:r w:rsidR="000002AB">
        <w:rPr>
          <w:rFonts w:eastAsia="Century Gothic"/>
          <w:highlight w:val="white"/>
        </w:rPr>
        <w:t>14</w:t>
      </w:r>
      <w:r w:rsidR="008455FF" w:rsidRPr="00311237">
        <w:rPr>
          <w:rFonts w:eastAsia="Century Gothic"/>
          <w:highlight w:val="white"/>
        </w:rPr>
        <w:t xml:space="preserve"> de Sesión Presencial </w:t>
      </w:r>
      <w:r w:rsidRPr="00311237">
        <w:rPr>
          <w:rFonts w:eastAsia="Century Gothic"/>
          <w:highlight w:val="white"/>
        </w:rPr>
        <w:t xml:space="preserve">de </w:t>
      </w:r>
      <w:r w:rsidR="000002AB">
        <w:rPr>
          <w:rFonts w:eastAsia="Century Gothic"/>
          <w:highlight w:val="white"/>
        </w:rPr>
        <w:t>septiembre 14 de 2021 y Acta No. 28 de noviembre 09 de 2021.</w:t>
      </w:r>
      <w:r w:rsidR="008455FF" w:rsidRPr="00311237">
        <w:rPr>
          <w:rFonts w:eastAsia="Century Gothic"/>
          <w:highlight w:val="white"/>
        </w:rPr>
        <w:t xml:space="preserve"> A</w:t>
      </w:r>
      <w:r w:rsidRPr="00311237">
        <w:rPr>
          <w:rFonts w:eastAsia="Century Gothic"/>
          <w:color w:val="000000" w:themeColor="text1"/>
          <w:highlight w:val="white"/>
        </w:rPr>
        <w:t>sí mismo</w:t>
      </w:r>
      <w:r w:rsidR="000002AB">
        <w:rPr>
          <w:rFonts w:eastAsia="Century Gothic"/>
          <w:color w:val="000000" w:themeColor="text1"/>
          <w:highlight w:val="white"/>
        </w:rPr>
        <w:t>,</w:t>
      </w:r>
      <w:r w:rsidRPr="00311237">
        <w:rPr>
          <w:rFonts w:eastAsia="Century Gothic"/>
          <w:color w:val="000000" w:themeColor="text1"/>
          <w:highlight w:val="white"/>
        </w:rPr>
        <w:t xml:space="preserve"> fue anunciado el día </w:t>
      </w:r>
      <w:r w:rsidR="000002AB">
        <w:rPr>
          <w:rFonts w:eastAsia="Century Gothic"/>
          <w:color w:val="000000" w:themeColor="text1"/>
          <w:highlight w:val="white"/>
        </w:rPr>
        <w:t>01</w:t>
      </w:r>
      <w:r w:rsidRPr="00311237">
        <w:rPr>
          <w:rFonts w:eastAsia="Century Gothic"/>
          <w:color w:val="000000" w:themeColor="text1"/>
          <w:highlight w:val="white"/>
        </w:rPr>
        <w:t xml:space="preserve"> de </w:t>
      </w:r>
      <w:r w:rsidR="000002AB">
        <w:rPr>
          <w:rFonts w:eastAsia="Century Gothic"/>
          <w:color w:val="000000" w:themeColor="text1"/>
          <w:highlight w:val="white"/>
        </w:rPr>
        <w:t>septiembre de 2021, según consta en el A</w:t>
      </w:r>
      <w:r w:rsidRPr="00311237">
        <w:rPr>
          <w:rFonts w:eastAsia="Century Gothic"/>
          <w:color w:val="000000" w:themeColor="text1"/>
          <w:highlight w:val="white"/>
        </w:rPr>
        <w:t xml:space="preserve">cta </w:t>
      </w:r>
      <w:r w:rsidR="000002AB">
        <w:rPr>
          <w:rFonts w:eastAsia="Century Gothic"/>
          <w:color w:val="000000" w:themeColor="text1"/>
          <w:highlight w:val="white"/>
        </w:rPr>
        <w:t>No. 13 d</w:t>
      </w:r>
      <w:r w:rsidR="008455FF" w:rsidRPr="00311237">
        <w:rPr>
          <w:rFonts w:eastAsia="Century Gothic"/>
          <w:color w:val="000000" w:themeColor="text1"/>
          <w:highlight w:val="white"/>
        </w:rPr>
        <w:t>e Sesión Presencial</w:t>
      </w:r>
      <w:r w:rsidR="000002AB">
        <w:rPr>
          <w:rFonts w:eastAsia="Century Gothic"/>
          <w:color w:val="000000" w:themeColor="text1"/>
          <w:highlight w:val="white"/>
        </w:rPr>
        <w:t xml:space="preserve"> y Acta No. 27 de Sesión Presencial de noviembre 02 de 2021</w:t>
      </w:r>
      <w:r w:rsidRPr="00311237">
        <w:rPr>
          <w:rFonts w:eastAsia="Century Gothic"/>
          <w:color w:val="000000" w:themeColor="text1"/>
          <w:highlight w:val="white"/>
        </w:rPr>
        <w:t>.</w:t>
      </w:r>
    </w:p>
    <w:p w:rsidR="00D8621E" w:rsidRPr="00311237" w:rsidRDefault="00D8621E" w:rsidP="006625C1">
      <w:pPr>
        <w:pStyle w:val="Textoindependiente"/>
        <w:rPr>
          <w:rFonts w:ascii="Times New Roman" w:hAnsi="Times New Roman" w:cs="Times New Roman"/>
        </w:rPr>
      </w:pPr>
    </w:p>
    <w:p w:rsidR="00D8621E" w:rsidRPr="00311237" w:rsidRDefault="00D8621E" w:rsidP="006625C1">
      <w:pPr>
        <w:pStyle w:val="Textoindependiente"/>
        <w:rPr>
          <w:rFonts w:ascii="Times New Roman" w:hAnsi="Times New Roman" w:cs="Times New Roman"/>
        </w:rPr>
      </w:pPr>
    </w:p>
    <w:p w:rsidR="00D8621E" w:rsidRPr="00311237" w:rsidRDefault="00D8621E" w:rsidP="006625C1">
      <w:pPr>
        <w:pStyle w:val="Textoindependiente"/>
        <w:rPr>
          <w:rFonts w:ascii="Times New Roman" w:hAnsi="Times New Roman" w:cs="Times New Roman"/>
        </w:rPr>
      </w:pPr>
    </w:p>
    <w:p w:rsidR="00D8621E" w:rsidRPr="00311237" w:rsidRDefault="00D8621E" w:rsidP="008455FF">
      <w:pPr>
        <w:pStyle w:val="Textoindependiente"/>
        <w:rPr>
          <w:rFonts w:ascii="Times New Roman" w:hAnsi="Times New Roman" w:cs="Times New Roman"/>
        </w:rPr>
      </w:pPr>
    </w:p>
    <w:p w:rsidR="00D8621E" w:rsidRPr="00311237" w:rsidRDefault="00D8621E" w:rsidP="008455FF">
      <w:pPr>
        <w:tabs>
          <w:tab w:val="left" w:pos="4820"/>
        </w:tabs>
        <w:jc w:val="center"/>
        <w:rPr>
          <w:rFonts w:eastAsia="Century Gothic"/>
          <w:highlight w:val="white"/>
        </w:rPr>
      </w:pPr>
    </w:p>
    <w:p w:rsidR="00D8621E" w:rsidRPr="00311237" w:rsidRDefault="000002AB" w:rsidP="008455FF">
      <w:pPr>
        <w:tabs>
          <w:tab w:val="left" w:pos="4820"/>
        </w:tabs>
        <w:jc w:val="both"/>
        <w:rPr>
          <w:rFonts w:eastAsia="Century Gothic"/>
          <w:highlight w:val="white"/>
        </w:rPr>
      </w:pPr>
      <w:r>
        <w:rPr>
          <w:rFonts w:eastAsia="Century Gothic"/>
          <w:b/>
        </w:rPr>
        <w:t xml:space="preserve">EDWARD D. RODRÍGUEZ </w:t>
      </w:r>
      <w:proofErr w:type="spellStart"/>
      <w:r>
        <w:rPr>
          <w:rFonts w:eastAsia="Century Gothic"/>
          <w:b/>
        </w:rPr>
        <w:t>RODRÍGUEZ</w:t>
      </w:r>
      <w:proofErr w:type="spellEnd"/>
      <w:r w:rsidR="00D8621E" w:rsidRPr="00311237">
        <w:rPr>
          <w:rFonts w:eastAsia="Century Gothic"/>
          <w:highlight w:val="white"/>
        </w:rPr>
        <w:tab/>
      </w:r>
      <w:r w:rsidR="00714F62" w:rsidRPr="00311237">
        <w:rPr>
          <w:rFonts w:eastAsia="Century Gothic"/>
          <w:b/>
        </w:rPr>
        <w:t>JULIO CÉSAR TRIANA QUINTERO</w:t>
      </w:r>
    </w:p>
    <w:p w:rsidR="00D8621E" w:rsidRPr="00311237" w:rsidRDefault="00D8621E" w:rsidP="008455FF">
      <w:pPr>
        <w:tabs>
          <w:tab w:val="left" w:pos="4820"/>
        </w:tabs>
        <w:jc w:val="both"/>
        <w:rPr>
          <w:rFonts w:eastAsia="Century Gothic"/>
          <w:highlight w:val="white"/>
        </w:rPr>
      </w:pPr>
      <w:r w:rsidRPr="00311237">
        <w:rPr>
          <w:rFonts w:eastAsia="Century Gothic"/>
          <w:highlight w:val="white"/>
        </w:rPr>
        <w:t xml:space="preserve">Ponente </w:t>
      </w:r>
      <w:r w:rsidR="00714F62" w:rsidRPr="00311237">
        <w:rPr>
          <w:rFonts w:eastAsia="Century Gothic"/>
          <w:highlight w:val="white"/>
        </w:rPr>
        <w:t>Coordinador</w:t>
      </w:r>
      <w:r w:rsidR="00714F62" w:rsidRPr="00311237">
        <w:rPr>
          <w:rFonts w:eastAsia="Century Gothic"/>
          <w:highlight w:val="white"/>
        </w:rPr>
        <w:tab/>
        <w:t>Presidente</w:t>
      </w:r>
    </w:p>
    <w:p w:rsidR="00D8621E" w:rsidRPr="00311237" w:rsidRDefault="00D8621E" w:rsidP="00D8621E">
      <w:pPr>
        <w:spacing w:after="160" w:line="259" w:lineRule="auto"/>
        <w:jc w:val="center"/>
        <w:rPr>
          <w:rFonts w:eastAsia="Century Gothic"/>
          <w:highlight w:val="white"/>
        </w:rPr>
      </w:pPr>
    </w:p>
    <w:p w:rsidR="00D8621E" w:rsidRPr="00311237" w:rsidRDefault="00D8621E" w:rsidP="00D8621E">
      <w:pPr>
        <w:spacing w:after="160" w:line="259" w:lineRule="auto"/>
        <w:jc w:val="center"/>
        <w:rPr>
          <w:rFonts w:eastAsia="Century Gothic"/>
          <w:highlight w:val="white"/>
        </w:rPr>
      </w:pPr>
    </w:p>
    <w:p w:rsidR="008D0B2B" w:rsidRPr="00311237" w:rsidRDefault="008D0B2B" w:rsidP="006625C1">
      <w:pPr>
        <w:spacing w:after="160" w:line="259" w:lineRule="auto"/>
        <w:rPr>
          <w:rFonts w:eastAsia="Century Gothic"/>
          <w:highlight w:val="white"/>
        </w:rPr>
      </w:pPr>
      <w:bookmarkStart w:id="1" w:name="_gjdgxs" w:colFirst="0" w:colLast="0"/>
      <w:bookmarkEnd w:id="1"/>
    </w:p>
    <w:p w:rsidR="008D0B2B" w:rsidRPr="00311237" w:rsidRDefault="008455FF" w:rsidP="006625C1">
      <w:pPr>
        <w:tabs>
          <w:tab w:val="left" w:pos="4820"/>
        </w:tabs>
        <w:jc w:val="both"/>
        <w:rPr>
          <w:rFonts w:eastAsia="Century Gothic"/>
          <w:b/>
          <w:highlight w:val="white"/>
        </w:rPr>
      </w:pPr>
      <w:r w:rsidRPr="00311237">
        <w:rPr>
          <w:rFonts w:eastAsia="Century Gothic"/>
          <w:b/>
        </w:rPr>
        <w:t xml:space="preserve">            </w:t>
      </w:r>
      <w:r w:rsidR="005A29C3" w:rsidRPr="00311237">
        <w:rPr>
          <w:rFonts w:eastAsia="Century Gothic"/>
          <w:b/>
        </w:rPr>
        <w:t xml:space="preserve">                      </w:t>
      </w:r>
      <w:r w:rsidR="00127274" w:rsidRPr="00311237">
        <w:rPr>
          <w:rFonts w:eastAsia="Century Gothic"/>
          <w:b/>
          <w:highlight w:val="white"/>
        </w:rPr>
        <w:t>AMPARO YANETH CALDERON PERDOMO</w:t>
      </w:r>
    </w:p>
    <w:p w:rsidR="008D0B2B" w:rsidRPr="00311237" w:rsidRDefault="008455FF" w:rsidP="006625C1">
      <w:pPr>
        <w:tabs>
          <w:tab w:val="left" w:pos="4820"/>
        </w:tabs>
        <w:jc w:val="both"/>
        <w:rPr>
          <w:rFonts w:eastAsia="Century Gothic"/>
          <w:highlight w:val="white"/>
        </w:rPr>
      </w:pPr>
      <w:r w:rsidRPr="00311237">
        <w:rPr>
          <w:rFonts w:eastAsia="Century Gothic"/>
          <w:highlight w:val="white"/>
        </w:rPr>
        <w:t xml:space="preserve">                                                          </w:t>
      </w:r>
      <w:r w:rsidR="00127274" w:rsidRPr="00311237">
        <w:rPr>
          <w:rFonts w:eastAsia="Century Gothic"/>
          <w:highlight w:val="white"/>
        </w:rPr>
        <w:t>Secretaria</w:t>
      </w:r>
    </w:p>
    <w:sectPr w:rsidR="008D0B2B" w:rsidRPr="00311237">
      <w:headerReference w:type="even" r:id="rId7"/>
      <w:headerReference w:type="default" r:id="rId8"/>
      <w:footerReference w:type="even" r:id="rId9"/>
      <w:footerReference w:type="default" r:id="rId10"/>
      <w:headerReference w:type="first" r:id="rId11"/>
      <w:footerReference w:type="first" r:id="rId12"/>
      <w:pgSz w:w="12242" w:h="15842"/>
      <w:pgMar w:top="1134" w:right="1134" w:bottom="1418" w:left="1418" w:header="709" w:footer="3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59" w:rsidRDefault="00432659">
      <w:r>
        <w:separator/>
      </w:r>
    </w:p>
  </w:endnote>
  <w:endnote w:type="continuationSeparator" w:id="0">
    <w:p w:rsidR="00432659" w:rsidRDefault="0043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478325"/>
      <w:docPartObj>
        <w:docPartGallery w:val="Page Numbers (Bottom of Page)"/>
        <w:docPartUnique/>
      </w:docPartObj>
    </w:sdtPr>
    <w:sdtEndPr/>
    <w:sdtContent>
      <w:p w:rsidR="006463DE" w:rsidRDefault="006463DE">
        <w:pPr>
          <w:pStyle w:val="Piedepgina"/>
          <w:jc w:val="right"/>
        </w:pPr>
        <w:r>
          <w:fldChar w:fldCharType="begin"/>
        </w:r>
        <w:r>
          <w:instrText>PAGE   \* MERGEFORMAT</w:instrText>
        </w:r>
        <w:r>
          <w:fldChar w:fldCharType="separate"/>
        </w:r>
        <w:r w:rsidR="00BA4CB3" w:rsidRPr="00BA4CB3">
          <w:rPr>
            <w:noProof/>
            <w:lang w:val="es-ES"/>
          </w:rPr>
          <w:t>4</w:t>
        </w:r>
        <w:r>
          <w:fldChar w:fldCharType="end"/>
        </w:r>
      </w:p>
    </w:sdtContent>
  </w:sdt>
  <w:p w:rsidR="008D0B2B" w:rsidRPr="00D8621E" w:rsidRDefault="008D0B2B">
    <w:pPr>
      <w:tabs>
        <w:tab w:val="center" w:pos="4419"/>
        <w:tab w:val="right" w:pos="8838"/>
      </w:tabs>
      <w:jc w:val="center"/>
      <w:rPr>
        <w:rFonts w:asciiTheme="majorHAnsi" w:eastAsia="Calibri" w:hAnsiTheme="majorHAnsi" w:cstheme="majorHAnsi"/>
        <w:sz w:val="20"/>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59" w:rsidRDefault="00432659">
      <w:r>
        <w:separator/>
      </w:r>
    </w:p>
  </w:footnote>
  <w:footnote w:type="continuationSeparator" w:id="0">
    <w:p w:rsidR="00432659" w:rsidRDefault="00432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2B" w:rsidRDefault="00127274">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1"/>
                  <a:srcRect/>
                  <a:stretch>
                    <a:fillRect/>
                  </a:stretch>
                </pic:blipFill>
                <pic:spPr>
                  <a:xfrm>
                    <a:off x="0" y="0"/>
                    <a:ext cx="2122159" cy="611237"/>
                  </a:xfrm>
                  <a:prstGeom prst="rect">
                    <a:avLst/>
                  </a:prstGeom>
                  <a:ln/>
                </pic:spPr>
              </pic:pic>
            </a:graphicData>
          </a:graphic>
        </wp:inline>
      </w:drawing>
    </w:r>
  </w:p>
  <w:p w:rsidR="008D0B2B" w:rsidRDefault="008D0B2B">
    <w:pPr>
      <w:pBdr>
        <w:top w:val="nil"/>
        <w:left w:val="nil"/>
        <w:bottom w:val="nil"/>
        <w:right w:val="nil"/>
        <w:between w:val="nil"/>
      </w:pBdr>
      <w:tabs>
        <w:tab w:val="center" w:pos="4252"/>
        <w:tab w:val="right" w:pos="8504"/>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011"/>
    <w:multiLevelType w:val="hybridMultilevel"/>
    <w:tmpl w:val="E738D95A"/>
    <w:lvl w:ilvl="0" w:tplc="04090017">
      <w:start w:val="1"/>
      <w:numFmt w:val="lowerLetter"/>
      <w:lvlText w:val="%1)"/>
      <w:lvlJc w:val="left"/>
      <w:pPr>
        <w:ind w:left="930" w:hanging="360"/>
      </w:pPr>
    </w:lvl>
    <w:lvl w:ilvl="1" w:tplc="FB64B942">
      <w:start w:val="1"/>
      <w:numFmt w:val="decimal"/>
      <w:lvlText w:val="%2."/>
      <w:lvlJc w:val="left"/>
      <w:pPr>
        <w:ind w:left="847" w:hanging="705"/>
      </w:pPr>
    </w:lvl>
    <w:lvl w:ilvl="2" w:tplc="01C2B360">
      <w:start w:val="1"/>
      <w:numFmt w:val="upperLetter"/>
      <w:lvlText w:val="%3)"/>
      <w:lvlJc w:val="left"/>
      <w:pPr>
        <w:ind w:left="2550" w:hanging="36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nsid w:val="0D2F6BD2"/>
    <w:multiLevelType w:val="multilevel"/>
    <w:tmpl w:val="6CBAAD2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E21AF3"/>
    <w:multiLevelType w:val="hybridMultilevel"/>
    <w:tmpl w:val="0A745726"/>
    <w:lvl w:ilvl="0" w:tplc="E2800722">
      <w:start w:val="1"/>
      <w:numFmt w:val="decimal"/>
      <w:lvlText w:val="%1."/>
      <w:lvlJc w:val="left"/>
      <w:pPr>
        <w:ind w:left="650" w:hanging="269"/>
        <w:jc w:val="left"/>
      </w:pPr>
      <w:rPr>
        <w:rFonts w:ascii="Arial MT" w:eastAsia="Arial MT" w:hAnsi="Arial MT" w:cs="Arial MT" w:hint="default"/>
        <w:w w:val="99"/>
        <w:sz w:val="24"/>
        <w:szCs w:val="24"/>
        <w:lang w:val="es-ES" w:eastAsia="en-US" w:bidi="ar-SA"/>
      </w:rPr>
    </w:lvl>
    <w:lvl w:ilvl="1" w:tplc="F732F1AA">
      <w:numFmt w:val="bullet"/>
      <w:lvlText w:val="•"/>
      <w:lvlJc w:val="left"/>
      <w:pPr>
        <w:ind w:left="1528" w:hanging="269"/>
      </w:pPr>
      <w:rPr>
        <w:rFonts w:hint="default"/>
        <w:lang w:val="es-ES" w:eastAsia="en-US" w:bidi="ar-SA"/>
      </w:rPr>
    </w:lvl>
    <w:lvl w:ilvl="2" w:tplc="B4EEC6E4">
      <w:numFmt w:val="bullet"/>
      <w:lvlText w:val="•"/>
      <w:lvlJc w:val="left"/>
      <w:pPr>
        <w:ind w:left="2396" w:hanging="269"/>
      </w:pPr>
      <w:rPr>
        <w:rFonts w:hint="default"/>
        <w:lang w:val="es-ES" w:eastAsia="en-US" w:bidi="ar-SA"/>
      </w:rPr>
    </w:lvl>
    <w:lvl w:ilvl="3" w:tplc="B734D910">
      <w:numFmt w:val="bullet"/>
      <w:lvlText w:val="•"/>
      <w:lvlJc w:val="left"/>
      <w:pPr>
        <w:ind w:left="3264" w:hanging="269"/>
      </w:pPr>
      <w:rPr>
        <w:rFonts w:hint="default"/>
        <w:lang w:val="es-ES" w:eastAsia="en-US" w:bidi="ar-SA"/>
      </w:rPr>
    </w:lvl>
    <w:lvl w:ilvl="4" w:tplc="D376F494">
      <w:numFmt w:val="bullet"/>
      <w:lvlText w:val="•"/>
      <w:lvlJc w:val="left"/>
      <w:pPr>
        <w:ind w:left="4132" w:hanging="269"/>
      </w:pPr>
      <w:rPr>
        <w:rFonts w:hint="default"/>
        <w:lang w:val="es-ES" w:eastAsia="en-US" w:bidi="ar-SA"/>
      </w:rPr>
    </w:lvl>
    <w:lvl w:ilvl="5" w:tplc="9BE632C8">
      <w:numFmt w:val="bullet"/>
      <w:lvlText w:val="•"/>
      <w:lvlJc w:val="left"/>
      <w:pPr>
        <w:ind w:left="5000" w:hanging="269"/>
      </w:pPr>
      <w:rPr>
        <w:rFonts w:hint="default"/>
        <w:lang w:val="es-ES" w:eastAsia="en-US" w:bidi="ar-SA"/>
      </w:rPr>
    </w:lvl>
    <w:lvl w:ilvl="6" w:tplc="747E9F18">
      <w:numFmt w:val="bullet"/>
      <w:lvlText w:val="•"/>
      <w:lvlJc w:val="left"/>
      <w:pPr>
        <w:ind w:left="5868" w:hanging="269"/>
      </w:pPr>
      <w:rPr>
        <w:rFonts w:hint="default"/>
        <w:lang w:val="es-ES" w:eastAsia="en-US" w:bidi="ar-SA"/>
      </w:rPr>
    </w:lvl>
    <w:lvl w:ilvl="7" w:tplc="C93ED076">
      <w:numFmt w:val="bullet"/>
      <w:lvlText w:val="•"/>
      <w:lvlJc w:val="left"/>
      <w:pPr>
        <w:ind w:left="6736" w:hanging="269"/>
      </w:pPr>
      <w:rPr>
        <w:rFonts w:hint="default"/>
        <w:lang w:val="es-ES" w:eastAsia="en-US" w:bidi="ar-SA"/>
      </w:rPr>
    </w:lvl>
    <w:lvl w:ilvl="8" w:tplc="C8DC1C56">
      <w:numFmt w:val="bullet"/>
      <w:lvlText w:val="•"/>
      <w:lvlJc w:val="left"/>
      <w:pPr>
        <w:ind w:left="7604" w:hanging="269"/>
      </w:pPr>
      <w:rPr>
        <w:rFonts w:hint="default"/>
        <w:lang w:val="es-ES" w:eastAsia="en-US" w:bidi="ar-SA"/>
      </w:rPr>
    </w:lvl>
  </w:abstractNum>
  <w:abstractNum w:abstractNumId="3">
    <w:nsid w:val="43C11249"/>
    <w:multiLevelType w:val="multilevel"/>
    <w:tmpl w:val="34424340"/>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548A08DF"/>
    <w:multiLevelType w:val="hybridMultilevel"/>
    <w:tmpl w:val="58DC5D88"/>
    <w:lvl w:ilvl="0" w:tplc="A92EF6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E481A32"/>
    <w:multiLevelType w:val="hybridMultilevel"/>
    <w:tmpl w:val="0D221656"/>
    <w:lvl w:ilvl="0" w:tplc="04090017">
      <w:start w:val="1"/>
      <w:numFmt w:val="lowerLetter"/>
      <w:lvlText w:val="%1)"/>
      <w:lvlJc w:val="left"/>
      <w:pPr>
        <w:ind w:left="1494" w:hanging="360"/>
      </w:p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6">
    <w:nsid w:val="7B79282D"/>
    <w:multiLevelType w:val="multilevel"/>
    <w:tmpl w:val="FBC66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2B"/>
    <w:rsid w:val="000002AB"/>
    <w:rsid w:val="00035569"/>
    <w:rsid w:val="000562C0"/>
    <w:rsid w:val="00111A48"/>
    <w:rsid w:val="00127274"/>
    <w:rsid w:val="00152FFA"/>
    <w:rsid w:val="001760BD"/>
    <w:rsid w:val="001A63A3"/>
    <w:rsid w:val="001D3409"/>
    <w:rsid w:val="001E0CB5"/>
    <w:rsid w:val="002035CF"/>
    <w:rsid w:val="00213BEE"/>
    <w:rsid w:val="002162FA"/>
    <w:rsid w:val="00224C88"/>
    <w:rsid w:val="00237951"/>
    <w:rsid w:val="002914E6"/>
    <w:rsid w:val="00311237"/>
    <w:rsid w:val="003A3963"/>
    <w:rsid w:val="004076F1"/>
    <w:rsid w:val="00432659"/>
    <w:rsid w:val="004328C1"/>
    <w:rsid w:val="004A71EF"/>
    <w:rsid w:val="005510C7"/>
    <w:rsid w:val="005A29C3"/>
    <w:rsid w:val="005F699E"/>
    <w:rsid w:val="006463DE"/>
    <w:rsid w:val="006625C1"/>
    <w:rsid w:val="00711037"/>
    <w:rsid w:val="00711980"/>
    <w:rsid w:val="00714F62"/>
    <w:rsid w:val="00771AAF"/>
    <w:rsid w:val="00804DD0"/>
    <w:rsid w:val="00814643"/>
    <w:rsid w:val="008455FF"/>
    <w:rsid w:val="00860D79"/>
    <w:rsid w:val="00893334"/>
    <w:rsid w:val="008D0B2B"/>
    <w:rsid w:val="0092289D"/>
    <w:rsid w:val="00945281"/>
    <w:rsid w:val="009A01EB"/>
    <w:rsid w:val="00A00182"/>
    <w:rsid w:val="00A101B0"/>
    <w:rsid w:val="00A261FF"/>
    <w:rsid w:val="00B0271C"/>
    <w:rsid w:val="00B47FB2"/>
    <w:rsid w:val="00BA4CB3"/>
    <w:rsid w:val="00BC62AA"/>
    <w:rsid w:val="00BD27F5"/>
    <w:rsid w:val="00C455AB"/>
    <w:rsid w:val="00C75B37"/>
    <w:rsid w:val="00C87A9C"/>
    <w:rsid w:val="00CB27CE"/>
    <w:rsid w:val="00CC76F7"/>
    <w:rsid w:val="00CE0261"/>
    <w:rsid w:val="00D44D19"/>
    <w:rsid w:val="00D504D4"/>
    <w:rsid w:val="00D8621E"/>
    <w:rsid w:val="00E64AC6"/>
    <w:rsid w:val="00F03D4B"/>
    <w:rsid w:val="00F60522"/>
    <w:rsid w:val="00FB17CC"/>
    <w:rsid w:val="00FB50DD"/>
    <w:rsid w:val="00FC71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42CBC-F2DB-4C32-9B11-332EAE2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independiente">
    <w:name w:val="Body Text"/>
    <w:basedOn w:val="Normal"/>
    <w:link w:val="TextoindependienteCar"/>
    <w:uiPriority w:val="1"/>
    <w:qFormat/>
    <w:rsid w:val="006625C1"/>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6625C1"/>
    <w:rPr>
      <w:rFonts w:ascii="Arial MT" w:eastAsia="Arial MT" w:hAnsi="Arial MT" w:cs="Arial MT"/>
      <w:lang w:val="es-ES" w:eastAsia="en-US"/>
    </w:rPr>
  </w:style>
  <w:style w:type="paragraph" w:styleId="Prrafodelista">
    <w:name w:val="List Paragraph"/>
    <w:basedOn w:val="Normal"/>
    <w:uiPriority w:val="34"/>
    <w:qFormat/>
    <w:rsid w:val="006625C1"/>
    <w:pPr>
      <w:widowControl w:val="0"/>
      <w:autoSpaceDE w:val="0"/>
      <w:autoSpaceDN w:val="0"/>
      <w:ind w:left="382"/>
      <w:jc w:val="both"/>
    </w:pPr>
    <w:rPr>
      <w:rFonts w:ascii="Arial MT" w:eastAsia="Arial MT" w:hAnsi="Arial MT" w:cs="Arial MT"/>
      <w:sz w:val="22"/>
      <w:szCs w:val="22"/>
      <w:lang w:val="es-ES" w:eastAsia="en-US"/>
    </w:rPr>
  </w:style>
  <w:style w:type="paragraph" w:styleId="Encabezado">
    <w:name w:val="header"/>
    <w:basedOn w:val="Normal"/>
    <w:link w:val="EncabezadoCar"/>
    <w:uiPriority w:val="99"/>
    <w:unhideWhenUsed/>
    <w:rsid w:val="00D8621E"/>
    <w:pPr>
      <w:tabs>
        <w:tab w:val="center" w:pos="4419"/>
        <w:tab w:val="right" w:pos="8838"/>
      </w:tabs>
    </w:pPr>
  </w:style>
  <w:style w:type="character" w:customStyle="1" w:styleId="EncabezadoCar">
    <w:name w:val="Encabezado Car"/>
    <w:basedOn w:val="Fuentedeprrafopredeter"/>
    <w:link w:val="Encabezado"/>
    <w:uiPriority w:val="99"/>
    <w:rsid w:val="00D8621E"/>
  </w:style>
  <w:style w:type="paragraph" w:styleId="Piedepgina">
    <w:name w:val="footer"/>
    <w:basedOn w:val="Normal"/>
    <w:link w:val="PiedepginaCar"/>
    <w:uiPriority w:val="99"/>
    <w:unhideWhenUsed/>
    <w:rsid w:val="00D8621E"/>
    <w:pPr>
      <w:tabs>
        <w:tab w:val="center" w:pos="4419"/>
        <w:tab w:val="right" w:pos="8838"/>
      </w:tabs>
    </w:pPr>
  </w:style>
  <w:style w:type="character" w:customStyle="1" w:styleId="PiedepginaCar">
    <w:name w:val="Pie de página Car"/>
    <w:basedOn w:val="Fuentedeprrafopredeter"/>
    <w:link w:val="Piedepgina"/>
    <w:uiPriority w:val="99"/>
    <w:rsid w:val="00D8621E"/>
  </w:style>
  <w:style w:type="paragraph" w:styleId="Textodeglobo">
    <w:name w:val="Balloon Text"/>
    <w:basedOn w:val="Normal"/>
    <w:link w:val="TextodegloboCar"/>
    <w:uiPriority w:val="99"/>
    <w:semiHidden/>
    <w:unhideWhenUsed/>
    <w:rsid w:val="00C455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5AB"/>
    <w:rPr>
      <w:rFonts w:ascii="Tahoma" w:hAnsi="Tahoma" w:cs="Tahoma"/>
      <w:sz w:val="16"/>
      <w:szCs w:val="16"/>
    </w:rPr>
  </w:style>
  <w:style w:type="character" w:customStyle="1" w:styleId="Cuadrculamedia2Car">
    <w:name w:val="Cuadrícula media 2 Car"/>
    <w:link w:val="Cuadrculamedia21"/>
    <w:uiPriority w:val="1"/>
    <w:locked/>
    <w:rsid w:val="00311237"/>
  </w:style>
  <w:style w:type="paragraph" w:customStyle="1" w:styleId="Cuadrculamedia21">
    <w:name w:val="Cuadrícula media 21"/>
    <w:link w:val="Cuadrculamedia2Car"/>
    <w:uiPriority w:val="1"/>
    <w:qFormat/>
    <w:rsid w:val="00311237"/>
  </w:style>
  <w:style w:type="paragraph" w:customStyle="1" w:styleId="Default">
    <w:name w:val="Default"/>
    <w:rsid w:val="00311237"/>
    <w:pPr>
      <w:autoSpaceDE w:val="0"/>
      <w:autoSpaceDN w:val="0"/>
      <w:adjustRightInd w:val="0"/>
    </w:pPr>
    <w:rPr>
      <w:rFonts w:eastAsia="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4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Paola.Santos</dc:creator>
  <cp:lastModifiedBy>Dora Sonia Cortes Castillo</cp:lastModifiedBy>
  <cp:revision>13</cp:revision>
  <cp:lastPrinted>2021-10-28T19:15:00Z</cp:lastPrinted>
  <dcterms:created xsi:type="dcterms:W3CDTF">2021-11-09T20:10:00Z</dcterms:created>
  <dcterms:modified xsi:type="dcterms:W3CDTF">2021-11-09T21:09:00Z</dcterms:modified>
</cp:coreProperties>
</file>